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2A740" w14:textId="77777777" w:rsidR="00F25091" w:rsidRDefault="00F25091" w:rsidP="00F35B05">
      <w:pPr>
        <w:pStyle w:val="Heading2"/>
        <w:sectPr w:rsidR="00F25091" w:rsidSect="00F250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B73C3B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F25091" w:rsidRPr="00F25091" w14:paraId="257F091B" w14:textId="77777777" w:rsidTr="00EB4E5C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C8E988D" w14:textId="77777777" w:rsidR="00F25091" w:rsidRPr="00F25091" w:rsidRDefault="00F25091" w:rsidP="00F25091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F25091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Infantila spasmer Wests syndrom – akut utredning och behandling</w:t>
            </w:r>
          </w:p>
        </w:tc>
      </w:tr>
    </w:tbl>
    <w:p w14:paraId="158D06E9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1"/>
        <w:rPr>
          <w:rFonts w:ascii="Calibri" w:hAnsi="Calibri" w:cs="Calibri"/>
          <w:b/>
          <w:iCs/>
          <w:szCs w:val="26"/>
        </w:rPr>
      </w:pPr>
      <w:bookmarkStart w:id="1" w:name="_Toc501440349"/>
      <w:r w:rsidRPr="00F25091">
        <w:rPr>
          <w:rFonts w:ascii="Calibri" w:hAnsi="Calibri" w:cs="Arial"/>
          <w:b/>
          <w:bCs/>
          <w:iCs/>
          <w:sz w:val="28"/>
          <w:szCs w:val="28"/>
        </w:rPr>
        <w:t>Sammanfattning</w:t>
      </w:r>
      <w:r w:rsidRPr="00F25091">
        <w:rPr>
          <w:rFonts w:ascii="Calibri" w:hAnsi="Calibri" w:cs="Calibri"/>
          <w:b/>
          <w:iCs/>
          <w:szCs w:val="26"/>
        </w:rPr>
        <w:t>/</w:t>
      </w:r>
      <w:r w:rsidRPr="00F25091">
        <w:rPr>
          <w:rFonts w:ascii="Calibri" w:hAnsi="Calibri" w:cs="Arial"/>
          <w:b/>
          <w:bCs/>
          <w:iCs/>
          <w:sz w:val="28"/>
          <w:szCs w:val="28"/>
        </w:rPr>
        <w:t>syfte</w:t>
      </w:r>
    </w:p>
    <w:bookmarkEnd w:id="1"/>
    <w:p w14:paraId="5E4ED1A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10CE495E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F25091">
        <w:rPr>
          <w:rFonts w:ascii="Calibri" w:hAnsi="Calibri" w:cs="Arial"/>
          <w:b/>
          <w:bCs/>
          <w:iCs/>
          <w:sz w:val="28"/>
          <w:szCs w:val="28"/>
        </w:rPr>
        <w:t>Infantila spasmer/Wests syndrom karaktäriseras av:</w:t>
      </w:r>
    </w:p>
    <w:p w14:paraId="54E1501F" w14:textId="77777777" w:rsidR="00F25091" w:rsidRPr="00F25091" w:rsidRDefault="00F25091" w:rsidP="00F25091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0"/>
        </w:rPr>
      </w:pPr>
      <w:r w:rsidRPr="00F25091">
        <w:rPr>
          <w:sz w:val="28"/>
          <w:szCs w:val="20"/>
        </w:rPr>
        <w:t>Infantila spasmer</w:t>
      </w:r>
    </w:p>
    <w:p w14:paraId="62CB9F35" w14:textId="77777777" w:rsidR="00F25091" w:rsidRPr="00F25091" w:rsidRDefault="00F25091" w:rsidP="00F25091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0"/>
        </w:rPr>
      </w:pPr>
      <w:r w:rsidRPr="00F25091">
        <w:rPr>
          <w:sz w:val="28"/>
          <w:szCs w:val="20"/>
        </w:rPr>
        <w:t>Hypsarytmi i EEG</w:t>
      </w:r>
    </w:p>
    <w:p w14:paraId="38A7AE50" w14:textId="77777777" w:rsidR="00F25091" w:rsidRPr="00F25091" w:rsidRDefault="00F25091" w:rsidP="00F25091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0"/>
        </w:rPr>
      </w:pPr>
      <w:r w:rsidRPr="00F25091">
        <w:rPr>
          <w:sz w:val="28"/>
          <w:szCs w:val="20"/>
        </w:rPr>
        <w:t>Avstannad psykomotorisk utveckling</w:t>
      </w:r>
    </w:p>
    <w:p w14:paraId="13D708C9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3B78B2B4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Vid klinisk misstanke om infantila spasmer görs </w:t>
      </w:r>
      <w:r w:rsidRPr="00F25091">
        <w:rPr>
          <w:b/>
          <w:bCs/>
          <w:szCs w:val="20"/>
        </w:rPr>
        <w:t xml:space="preserve">akut EEG (vakenhet och sömn). </w:t>
      </w:r>
      <w:r w:rsidRPr="00F25091">
        <w:rPr>
          <w:szCs w:val="20"/>
        </w:rPr>
        <w:t>Visar denna undersökning hypsarytmi genomförs fortsatt utredning och behandling.</w:t>
      </w:r>
    </w:p>
    <w:p w14:paraId="206C7943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7C74B8F5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Utredningen styr behandlingsval varför denna bör göras utan dröjsmål. Behandlingen syftar till klinisk anfalls (spasm) frihet och fullständig regress av hypsarytmibild i EEG.</w:t>
      </w:r>
    </w:p>
    <w:p w14:paraId="24E882FF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 xml:space="preserve">Utredning </w:t>
      </w:r>
      <w:r w:rsidRPr="00F25091">
        <w:rPr>
          <w:rFonts w:ascii="Calibri" w:hAnsi="Calibri" w:cs="Arial"/>
          <w:b/>
          <w:bCs/>
          <w:caps/>
          <w:szCs w:val="26"/>
        </w:rPr>
        <w:t>–</w:t>
      </w:r>
      <w:r w:rsidRPr="00F25091">
        <w:rPr>
          <w:rFonts w:ascii="Calibri" w:hAnsi="Calibri" w:cs="Arial"/>
          <w:b/>
          <w:bCs/>
          <w:szCs w:val="26"/>
        </w:rPr>
        <w:t xml:space="preserve"> Akut</w:t>
      </w:r>
    </w:p>
    <w:p w14:paraId="06F62B0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 xml:space="preserve">EEG (vaket och sömn) </w:t>
      </w:r>
      <w:r w:rsidRPr="00F25091">
        <w:rPr>
          <w:szCs w:val="20"/>
        </w:rPr>
        <w:t>för att bekräfta diagnos</w:t>
      </w:r>
    </w:p>
    <w:p w14:paraId="2CDCB24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>Kliniskt status</w:t>
      </w:r>
      <w:r w:rsidRPr="00F25091">
        <w:rPr>
          <w:szCs w:val="20"/>
        </w:rPr>
        <w:t xml:space="preserve"> inklusive neurologiskt status, utvecklingsbedömning och inspektion av depigmenterade fläckar  med Woods ljus (remiss till hudmottagning, ej akut).</w:t>
      </w:r>
    </w:p>
    <w:p w14:paraId="29B15E96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>Blod:</w:t>
      </w:r>
      <w:r w:rsidRPr="00F25091">
        <w:rPr>
          <w:szCs w:val="20"/>
        </w:rPr>
        <w:t xml:space="preserve"> blodstatus+diff, elektrolytstatus, krea, urea, leverstatus, TSH, T4,  glukos, laktat, </w:t>
      </w:r>
    </w:p>
    <w:p w14:paraId="14866AD3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 xml:space="preserve">CSF: </w:t>
      </w:r>
      <w:r w:rsidRPr="00F25091">
        <w:rPr>
          <w:szCs w:val="20"/>
        </w:rPr>
        <w:t>celler, albumin, CSF/blod-glukoskvot, fraktionerade proteiner, laktat, aminosyror, hjärnskademarkörer, X-rör.</w:t>
      </w:r>
    </w:p>
    <w:p w14:paraId="03BCDB53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MRI hjärna</w:t>
      </w:r>
    </w:p>
    <w:p w14:paraId="7F36BB3E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Utredning – fortsatt om oklar diagnos</w:t>
      </w:r>
    </w:p>
    <w:p w14:paraId="71BA2D49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 xml:space="preserve">Blod: </w:t>
      </w:r>
      <w:r w:rsidRPr="00F25091">
        <w:rPr>
          <w:szCs w:val="20"/>
        </w:rPr>
        <w:t>p-aminosyror, TORCH, CDG, p-pipecolsyra, homocystein,totalkarnitin, acylkarnitiner, Vit B12, folsyra.</w:t>
      </w:r>
    </w:p>
    <w:p w14:paraId="0E683BC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 xml:space="preserve">Urin: </w:t>
      </w:r>
      <w:r w:rsidRPr="00F25091">
        <w:rPr>
          <w:szCs w:val="20"/>
        </w:rPr>
        <w:t>u-aminosyror, u-organiska syror, u-ketoner</w:t>
      </w:r>
    </w:p>
    <w:p w14:paraId="4FCA680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 xml:space="preserve">Ögon: </w:t>
      </w:r>
      <w:r w:rsidRPr="00F25091">
        <w:rPr>
          <w:szCs w:val="20"/>
        </w:rPr>
        <w:t>neurooftalmologisk bedömning (tecken på metabol sjukdom eller intaruterin infektion?)</w:t>
      </w:r>
    </w:p>
    <w:p w14:paraId="2304F456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Övrigt: PKU-prov är taget? Vid misstanke om prenatal CMV-infektion kan CMV-PCR tas på PKU prov.</w:t>
      </w:r>
    </w:p>
    <w:p w14:paraId="101E5865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b/>
          <w:bCs/>
          <w:szCs w:val="20"/>
        </w:rPr>
        <w:t xml:space="preserve">Ytterligare utredning: </w:t>
      </w:r>
      <w:r w:rsidRPr="00F25091">
        <w:rPr>
          <w:szCs w:val="20"/>
        </w:rPr>
        <w:t xml:space="preserve">utifrån ovanstående provsvar, individuell bedömning och i samråd med barnneurolog. Genetetisk utredning kan vara indicerat (epilepsigenpanel eller mer </w:t>
      </w:r>
      <w:r w:rsidRPr="00F25091">
        <w:rPr>
          <w:szCs w:val="20"/>
        </w:rPr>
        <w:lastRenderedPageBreak/>
        <w:t>riktad DNA analys vid syndrommisstanke). För mer inspiration hänvisar till PM för ep utredning under 24 månader.</w:t>
      </w:r>
    </w:p>
    <w:p w14:paraId="7731C34D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4B1E4C0B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Behandling – Okänd eller symtomatisk etiologi</w:t>
      </w:r>
    </w:p>
    <w:p w14:paraId="64583190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26724CE9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1: Inj. Iv/im </w:t>
      </w:r>
      <w:r w:rsidRPr="00F25091">
        <w:rPr>
          <w:b/>
          <w:bCs/>
          <w:szCs w:val="20"/>
        </w:rPr>
        <w:t>Pyridoxinhydroklorid</w:t>
      </w:r>
      <w:r w:rsidRPr="00F25091">
        <w:rPr>
          <w:szCs w:val="20"/>
        </w:rPr>
        <w:t xml:space="preserve"> 150 mg/ml 1 ml helst under EEG-övervakning. Upprepas 1 gång efter 10 minuter om utebliven effekt. Om EEG normalisering och anfallsfrihet: fortsatt Pyridoxinhydroklorid per os 30-50 mg/kg/dag i 3dos (</w:t>
      </w:r>
      <w:r w:rsidRPr="00F25091">
        <w:rPr>
          <w:b/>
          <w:bCs/>
          <w:szCs w:val="20"/>
        </w:rPr>
        <w:t>tabl Pyridoxin</w:t>
      </w:r>
      <w:r w:rsidRPr="00F25091">
        <w:rPr>
          <w:szCs w:val="20"/>
        </w:rPr>
        <w:t xml:space="preserve"> 40 mg).</w:t>
      </w:r>
    </w:p>
    <w:p w14:paraId="09FD5A31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5779D195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Invänta svar p-pipecolsyra. Om ej primär effekt av injektionerna eller recidiv under  per os behandling som ej snabbt (1-2 dygn) svarar gå vidare:</w:t>
      </w:r>
    </w:p>
    <w:p w14:paraId="776A1B6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 </w:t>
      </w:r>
    </w:p>
    <w:p w14:paraId="3CAAACFD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2: </w:t>
      </w:r>
      <w:r w:rsidRPr="00F25091">
        <w:rPr>
          <w:b/>
          <w:bCs/>
          <w:szCs w:val="20"/>
        </w:rPr>
        <w:t>Prednisolon</w:t>
      </w:r>
      <w:r w:rsidRPr="00F25091">
        <w:rPr>
          <w:szCs w:val="20"/>
        </w:rPr>
        <w:t xml:space="preserve"> tabl: 40 mg/dygn (15 mg+15 mg+10 mg)  i 2 veckor. Om utebliven effekt efter 1 vecka öka till 60 mg/dygn (20 mgx3).</w:t>
      </w:r>
    </w:p>
    <w:p w14:paraId="7ABB4CE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Efter 2 veckros effektiv behandling trappas ner veckovis med 10 mg under 4-6 veckor.</w:t>
      </w:r>
    </w:p>
    <w:p w14:paraId="7E8363A8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11932789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3: Om utebliven effekt på spasmerna efter 2 v med maximal dosering med Prednisolon, lägg till </w:t>
      </w:r>
      <w:r w:rsidRPr="00F25091">
        <w:rPr>
          <w:b/>
          <w:bCs/>
          <w:szCs w:val="20"/>
        </w:rPr>
        <w:t>vigabatrin</w:t>
      </w:r>
      <w:r w:rsidRPr="00F25091">
        <w:rPr>
          <w:szCs w:val="20"/>
        </w:rPr>
        <w:t xml:space="preserve"> (Sabrilex) 75-100-150 mg/kg. Öka var femte dag om kvarstående kliniska anfall.</w:t>
      </w:r>
    </w:p>
    <w:p w14:paraId="55605DD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Om klinisk spasmfrihet och normaliserat EEG fortsätt vigabatrin på effektiv dos i högst 3 månader.</w:t>
      </w:r>
    </w:p>
    <w:p w14:paraId="6CFD5F0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4F340395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4: Inj im </w:t>
      </w:r>
      <w:r w:rsidRPr="00F25091">
        <w:rPr>
          <w:b/>
          <w:bCs/>
          <w:szCs w:val="20"/>
        </w:rPr>
        <w:t>Synachten</w:t>
      </w:r>
      <w:r w:rsidRPr="00F25091">
        <w:rPr>
          <w:szCs w:val="20"/>
        </w:rPr>
        <w:t xml:space="preserve"> depot 1 mg/ml v a d 0,25 mg (0,03 mg/kg) öka till 0,5 mg om fortsatta spasmer efter 3 doser. Fortsätt i 2 veckor. Trappa ut på 2 v.</w:t>
      </w:r>
    </w:p>
    <w:p w14:paraId="197A5C33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062FC7AE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rFonts w:ascii="Symbol" w:hAnsi="Symbol"/>
          <w:szCs w:val="20"/>
        </w:rPr>
        <w:sym w:font="Symbol" w:char="F0AE"/>
      </w:r>
      <w:r w:rsidRPr="00F25091">
        <w:rPr>
          <w:szCs w:val="20"/>
        </w:rPr>
        <w:t xml:space="preserve"> Om klinisk spasmfrihet och normaliserat EEG behandling minst 2 v. Nedtrappning under 4-6 v genom successiv halvering av dosen. </w:t>
      </w:r>
    </w:p>
    <w:p w14:paraId="720C05B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Överväg annan antiepilepsibehandling om kvarstående fokal patologi i EEG eller/och annan typ av kliniska anfall.</w:t>
      </w:r>
    </w:p>
    <w:p w14:paraId="5243734D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00AB31B6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429EB356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rFonts w:ascii="Symbol" w:hAnsi="Symbol"/>
          <w:szCs w:val="20"/>
        </w:rPr>
        <w:sym w:font="Symbol" w:char="F0AE"/>
      </w:r>
      <w:r w:rsidRPr="00F25091">
        <w:rPr>
          <w:szCs w:val="20"/>
        </w:rPr>
        <w:t xml:space="preserve">Om ingen effekt på spasmerna trots Pyridoxinhydroklorid, Prednisolon, Sabrilex Synachten uttrappning av Synachten på 2 v.  </w:t>
      </w:r>
    </w:p>
    <w:p w14:paraId="5D52C821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Pyridoxalfosfat  per os (aktiverat B6, ex tempore kapslar) 10 mg/kg x2 dos under 7dagar. Om  klinisk spasmfrihet och normaliserat EEG fortsatt Pyridoxalfosfatbehandling med 30-50 mg/kg/d i 3 dos.</w:t>
      </w:r>
    </w:p>
    <w:p w14:paraId="4BD46FC8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Invänta svar p-pipecolsyra, om u a överväg diagnostik av PNPO-brist.</w:t>
      </w:r>
    </w:p>
    <w:p w14:paraId="2FD124AC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Om ingen effekt överväg epilepsikirurgisk utredning, ketogen kost, fortsatt medicinsk behandling med bensodiazepiner, valproat, topiramat, zonegran, sulthiame.</w:t>
      </w:r>
    </w:p>
    <w:p w14:paraId="0578AC3C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lastRenderedPageBreak/>
        <w:t>Behandling – Tuberös skleros (TS)</w:t>
      </w:r>
    </w:p>
    <w:p w14:paraId="017433CC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Sabrilex 50-100-150 mg/kg per os. Öka var 5:e dag om kvarstående kliniska spasmer.</w:t>
      </w:r>
    </w:p>
    <w:p w14:paraId="61F3BCD9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5EA0C35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rFonts w:ascii="Symbol" w:hAnsi="Symbol"/>
          <w:szCs w:val="20"/>
        </w:rPr>
        <w:sym w:font="Symbol" w:char="F0AE"/>
      </w:r>
      <w:r w:rsidRPr="00F25091">
        <w:rPr>
          <w:szCs w:val="20"/>
        </w:rPr>
        <w:t>Om klinisk spasmfrihet och normaliserat EEG fortsatt behandling på effektiv dos 3 månader.</w:t>
      </w:r>
    </w:p>
    <w:p w14:paraId="58721B1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2C856C2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rFonts w:ascii="Symbol" w:hAnsi="Symbol"/>
          <w:szCs w:val="20"/>
        </w:rPr>
        <w:sym w:font="Symbol" w:char="F0AE"/>
      </w:r>
      <w:r w:rsidRPr="00F25091">
        <w:rPr>
          <w:szCs w:val="20"/>
        </w:rPr>
        <w:t>Om ingen effekt på spasmerna tillägg Prednisolon eller Synachten depot enl ovan.</w:t>
      </w:r>
    </w:p>
    <w:p w14:paraId="15934CF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4EFB908B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EEG kontroller</w:t>
      </w:r>
    </w:p>
    <w:p w14:paraId="23E4F9EB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EEG akut (vaket och sömn) för att bekräfta diagnos samt behandlingseffekt av Pyridoxinhydroklorid eller Pyridoxalfosfat.</w:t>
      </w:r>
    </w:p>
    <w:p w14:paraId="2254628C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1A5554D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EEG om tveksam klinisk effekt på spasmerna, senast efter 2 v behandling och om klinisk anfalls- (spasm) frihet (obs kvardröjande patologi i EEG trots klinisk spasmfrihet är inte ovanligt).</w:t>
      </w:r>
    </w:p>
    <w:p w14:paraId="56A4E751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Kontroller vid Sabrilexbehandling</w:t>
      </w:r>
    </w:p>
    <w:p w14:paraId="0F4AEA24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Vikt dagligen.</w:t>
      </w:r>
    </w:p>
    <w:p w14:paraId="48052724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ERG efter 3 mån behandling</w:t>
      </w:r>
    </w:p>
    <w:p w14:paraId="08BB7589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Kontroller vid Prednisolon och Synachtenbehandling</w:t>
      </w:r>
    </w:p>
    <w:p w14:paraId="1A98BA00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Risk föreligger för behandlingsinducerat ulcus, infektion, hypokalemisk alkalos, hypertoni, kardiomyopati, CMV reaktivering)</w:t>
      </w:r>
    </w:p>
    <w:p w14:paraId="70245270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Vikt, temp, Na, K, Astrup, BT, CRP, u-glu: 3 ggr/v</w:t>
      </w:r>
    </w:p>
    <w:p w14:paraId="3C7B749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Kardiologbedömning: vid behov.</w:t>
      </w:r>
    </w:p>
    <w:p w14:paraId="6735BAD2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PCR-CMV kvantifiering inför behandlingsstart (CMV-IgG och IgM, blodstatus och leverstatus. Under behandlingen veckovisa kontroller för blodstatus och leverstatus.</w:t>
      </w:r>
    </w:p>
    <w:p w14:paraId="134CF9E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Om patienten uppvisar:</w:t>
      </w:r>
    </w:p>
    <w:p w14:paraId="0B1D1208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-oklar feber</w:t>
      </w:r>
    </w:p>
    <w:p w14:paraId="754965F7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-Pos CMV-IgG/IgM</w:t>
      </w:r>
    </w:p>
    <w:p w14:paraId="1BD9A341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-Påverkat leverstatus, blodstatus, lågt TPK eller LPK</w:t>
      </w:r>
    </w:p>
    <w:p w14:paraId="0758A518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Ta S-PCR CMV. Om S-PCR CMV pos(&gt;/=log 2) ställningstagande till behandling.</w:t>
      </w:r>
    </w:p>
    <w:p w14:paraId="6EC25133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UCG vid hypertoni eller andra tecken till hjärtsjukdom.</w:t>
      </w:r>
    </w:p>
    <w:p w14:paraId="2FB1F64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OBS starta genast behandling med magsårsprofylax t ex Omeprazol</w:t>
      </w:r>
    </w:p>
    <w:p w14:paraId="5942F403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Vid BT &gt;115/70 överväg betablockad (mixt Propranolol)</w:t>
      </w:r>
    </w:p>
    <w:p w14:paraId="78980395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Vid hypokalemisk alkalos överväg per oral behandling med Kaliumklorid</w:t>
      </w:r>
    </w:p>
    <w:p w14:paraId="7ACE6BED" w14:textId="77777777" w:rsidR="00F25091" w:rsidRPr="00F25091" w:rsidRDefault="00F25091" w:rsidP="00F2509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F25091">
        <w:rPr>
          <w:rFonts w:ascii="Calibri" w:hAnsi="Calibri" w:cs="Arial"/>
          <w:b/>
          <w:bCs/>
          <w:szCs w:val="26"/>
        </w:rPr>
        <w:t>Uppföljning</w:t>
      </w:r>
    </w:p>
    <w:p w14:paraId="5C0F6C97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Behandling syftar till klinisk anfalls-(spasm)frihet och fullständig regress av hypsarytmibild i EEG (vaket och sömn).</w:t>
      </w:r>
    </w:p>
    <w:p w14:paraId="56C5C2A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lastRenderedPageBreak/>
        <w:t>Behandlingseffekten följs med klinisk bedömning och v b EEG. Under Prednisolon/ Synachtenutsättning görs EEG vid osäkerhet om klinisk anfalls-(spasm) frihet och 2 veckor efter avslutad behandling.</w:t>
      </w:r>
    </w:p>
    <w:p w14:paraId="7BCA87A4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 xml:space="preserve">Risk för binjurebarksinsufficens föreligger efter avslutad Prednisolon/Synachtebehandling. </w:t>
      </w:r>
    </w:p>
    <w:p w14:paraId="23C29724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Kontroll görs med morgon-kortisol (kl 08) 1-2 v efter avslutad behandling. (Normalt morgon-kortisol värde är 200 – 800 nmol/L). Hydrokortisonbehandling bör övervägas vid stressituationer såsom infektion med feber eller operation om morgon-kortisol ligger mellan 120 – 200 nmol/L och vid värde &lt; 120 nmol/L bör man överväga kortison i  nedtrappande dos under 2-3 veckor. Detta kan göras i samråd med barnendokrinolog.</w:t>
      </w:r>
    </w:p>
    <w:p w14:paraId="7B2CFD97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08098EEF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71BD0AB6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  <w:r w:rsidRPr="00F25091">
        <w:rPr>
          <w:szCs w:val="20"/>
        </w:rPr>
        <w:t>Familjen informeras av barnneurolog om etiologi, prognos, utveckling, epilepsi och om neuropsykologisk och neurologisk uppföljning under avdelningsvistelsen.</w:t>
      </w:r>
    </w:p>
    <w:p w14:paraId="7C50E88A" w14:textId="77777777" w:rsidR="00F25091" w:rsidRPr="00F25091" w:rsidRDefault="00F25091" w:rsidP="00F25091">
      <w:pPr>
        <w:spacing w:after="0" w:line="240" w:lineRule="auto"/>
        <w:ind w:left="0" w:right="0"/>
        <w:rPr>
          <w:szCs w:val="20"/>
        </w:rPr>
      </w:pPr>
    </w:p>
    <w:p w14:paraId="46F60339" w14:textId="77777777" w:rsidR="00F25091" w:rsidRPr="00F25091" w:rsidRDefault="00F25091" w:rsidP="00F25091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250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A83A40"/>
    <w:multiLevelType w:val="hybridMultilevel"/>
    <w:tmpl w:val="ACD88E7E"/>
    <w:lvl w:ilvl="0" w:tplc="5F469B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C25F6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38B0B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4D005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5EE6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532B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9625C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DD27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34AB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33069902">
    <w:abstractNumId w:val="18"/>
  </w:num>
  <w:num w:numId="2" w16cid:durableId="72289559">
    <w:abstractNumId w:val="15"/>
  </w:num>
  <w:num w:numId="3" w16cid:durableId="1124496940">
    <w:abstractNumId w:val="0"/>
  </w:num>
  <w:num w:numId="4" w16cid:durableId="60760229">
    <w:abstractNumId w:val="7"/>
  </w:num>
  <w:num w:numId="5" w16cid:durableId="2004313179">
    <w:abstractNumId w:val="16"/>
  </w:num>
  <w:num w:numId="6" w16cid:durableId="511190978">
    <w:abstractNumId w:val="2"/>
  </w:num>
  <w:num w:numId="7" w16cid:durableId="1812212312">
    <w:abstractNumId w:val="12"/>
  </w:num>
  <w:num w:numId="8" w16cid:durableId="53550054">
    <w:abstractNumId w:val="9"/>
  </w:num>
  <w:num w:numId="9" w16cid:durableId="1708330016">
    <w:abstractNumId w:val="1"/>
  </w:num>
  <w:num w:numId="10" w16cid:durableId="886453695">
    <w:abstractNumId w:val="1"/>
  </w:num>
  <w:num w:numId="11" w16cid:durableId="140079140">
    <w:abstractNumId w:val="3"/>
  </w:num>
  <w:num w:numId="12" w16cid:durableId="1657880884">
    <w:abstractNumId w:val="5"/>
  </w:num>
  <w:num w:numId="13" w16cid:durableId="1096100565">
    <w:abstractNumId w:val="14"/>
  </w:num>
  <w:num w:numId="14" w16cid:durableId="47192924">
    <w:abstractNumId w:val="10"/>
  </w:num>
  <w:num w:numId="15" w16cid:durableId="460659043">
    <w:abstractNumId w:val="8"/>
  </w:num>
  <w:num w:numId="16" w16cid:durableId="1462921632">
    <w:abstractNumId w:val="13"/>
  </w:num>
  <w:num w:numId="17" w16cid:durableId="1650476409">
    <w:abstractNumId w:val="6"/>
  </w:num>
  <w:num w:numId="18" w16cid:durableId="1083717103">
    <w:abstractNumId w:val="11"/>
  </w:num>
  <w:num w:numId="19" w16cid:durableId="445857596">
    <w:abstractNumId w:val="17"/>
  </w:num>
  <w:num w:numId="20" w16cid:durableId="12187094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091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4</Pages>
  <Words>969</Words>
  <Characters>5139</Characters>
  <Application>Microsoft Office Word</Application>
  <DocSecurity>0</DocSecurity>
  <Lines>42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Infantila spasmer Wests syndrom akut utredning och behandling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2022-05-16T03:54:00.0000000Z</dcterms:created>
  <dcterms:modified xsi:type="dcterms:W3CDTF">2022-05-16T03:54:00.0000000Z</dcterms:modified>
</coreProperties>
</file>