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9F95B" w14:textId="24513497" w:rsidR="00536A5A" w:rsidRPr="00AE753D" w:rsidRDefault="00536A5A" w:rsidP="008156BE"/>
    <w:p w14:paraId="4155AB7D" w14:textId="77777777" w:rsidR="00763B32" w:rsidRPr="00AE753D" w:rsidRDefault="00763B32" w:rsidP="008156BE"/>
    <w:p w14:paraId="25CC8F6F" w14:textId="77777777" w:rsidR="00763B32" w:rsidRPr="00AE753D" w:rsidRDefault="00763B32" w:rsidP="008156BE"/>
    <w:p w14:paraId="7750FC31" w14:textId="77777777" w:rsidR="00763B32" w:rsidRPr="00AE753D" w:rsidRDefault="00763B32" w:rsidP="008156BE"/>
    <w:p w14:paraId="64926FD6" w14:textId="77777777" w:rsidR="007D10FD" w:rsidRPr="007D10FD" w:rsidRDefault="007D10FD" w:rsidP="00AE753D">
      <w:pPr>
        <w:pStyle w:val="Rubrik1"/>
        <w:rPr>
          <w:lang w:eastAsia="en-US"/>
        </w:rPr>
      </w:pPr>
      <w:r w:rsidRPr="007D10FD">
        <w:rPr>
          <w:lang w:eastAsia="en-US"/>
        </w:rPr>
        <w:t>Helicobacter Pylori utredningskrav</w:t>
      </w:r>
    </w:p>
    <w:p w14:paraId="60D952A9" w14:textId="77777777" w:rsidR="007D10FD" w:rsidRPr="007D10FD" w:rsidRDefault="007D10FD" w:rsidP="007D10FD">
      <w:pPr>
        <w:spacing w:after="200" w:line="276" w:lineRule="auto"/>
        <w:ind w:left="0" w:right="0"/>
        <w:rPr>
          <w:rFonts w:eastAsia="Calibri"/>
          <w:lang w:eastAsia="en-US"/>
        </w:rPr>
      </w:pPr>
      <w:r w:rsidRPr="007D10FD">
        <w:rPr>
          <w:rFonts w:eastAsia="Calibri"/>
          <w:lang w:eastAsia="en-US"/>
        </w:rPr>
        <w:t>För mer utförlig dokumentation hänvisas till artikel i Läkartidningen 2018, Thomas Casswall</w:t>
      </w:r>
      <w:r w:rsidRPr="007D10FD">
        <w:rPr>
          <w:rFonts w:eastAsia="Calibri"/>
          <w:sz w:val="22"/>
          <w:szCs w:val="22"/>
          <w:lang w:eastAsia="en-US"/>
        </w:rPr>
        <w:t xml:space="preserve"> </w:t>
      </w:r>
      <w:hyperlink r:id="rId12" w:history="1">
        <w:r w:rsidRPr="007D10FD">
          <w:rPr>
            <w:rFonts w:eastAsia="Calibri"/>
            <w:color w:val="0000FF"/>
            <w:sz w:val="22"/>
            <w:szCs w:val="22"/>
            <w:u w:val="single"/>
            <w:lang w:eastAsia="en-US"/>
          </w:rPr>
          <w:t>Strategin »testa och behandla« rekommenderas inte för barn (lakartidningen.se)</w:t>
        </w:r>
      </w:hyperlink>
    </w:p>
    <w:p w14:paraId="0C450925" w14:textId="77777777" w:rsidR="007D10FD" w:rsidRPr="007D10FD" w:rsidRDefault="007D10FD" w:rsidP="007D10FD">
      <w:pPr>
        <w:autoSpaceDE w:val="0"/>
        <w:autoSpaceDN w:val="0"/>
        <w:adjustRightInd w:val="0"/>
        <w:spacing w:after="0" w:line="240" w:lineRule="auto"/>
        <w:ind w:left="0" w:right="0"/>
        <w:rPr>
          <w:rFonts w:eastAsia="Calibri"/>
          <w:lang w:eastAsia="en-US"/>
        </w:rPr>
      </w:pPr>
    </w:p>
    <w:p w14:paraId="4F7C8B8F" w14:textId="77777777" w:rsidR="007D10FD" w:rsidRPr="007D10FD" w:rsidRDefault="007D10FD" w:rsidP="007D10FD">
      <w:pPr>
        <w:autoSpaceDE w:val="0"/>
        <w:autoSpaceDN w:val="0"/>
        <w:adjustRightInd w:val="0"/>
        <w:spacing w:after="0" w:line="240" w:lineRule="auto"/>
        <w:ind w:left="0" w:right="0"/>
        <w:rPr>
          <w:rFonts w:eastAsia="Calibri"/>
          <w:lang w:eastAsia="en-US"/>
        </w:rPr>
      </w:pPr>
      <w:r w:rsidRPr="007D10FD">
        <w:rPr>
          <w:rFonts w:eastAsia="Calibri"/>
          <w:lang w:eastAsia="en-US"/>
        </w:rPr>
        <w:t xml:space="preserve">Den primära målsättningen med utredning av gastrointestinala symtom är att söka orsaken till symtomen och inte enbart förekomst av Hp. </w:t>
      </w:r>
    </w:p>
    <w:p w14:paraId="7802D2D9" w14:textId="77777777" w:rsidR="007D10FD" w:rsidRPr="007D10FD" w:rsidRDefault="007D10FD" w:rsidP="007D10FD">
      <w:pPr>
        <w:autoSpaceDE w:val="0"/>
        <w:autoSpaceDN w:val="0"/>
        <w:adjustRightInd w:val="0"/>
        <w:spacing w:after="0" w:line="240" w:lineRule="auto"/>
        <w:ind w:left="0" w:right="0"/>
        <w:rPr>
          <w:rFonts w:eastAsia="Calibri"/>
          <w:lang w:eastAsia="en-US"/>
        </w:rPr>
      </w:pPr>
    </w:p>
    <w:p w14:paraId="1F5FD03C" w14:textId="77777777" w:rsidR="007D10FD" w:rsidRPr="007D10FD" w:rsidRDefault="007D10FD" w:rsidP="007D10FD">
      <w:pPr>
        <w:autoSpaceDE w:val="0"/>
        <w:autoSpaceDN w:val="0"/>
        <w:adjustRightInd w:val="0"/>
        <w:spacing w:after="0" w:line="240" w:lineRule="auto"/>
        <w:ind w:left="0" w:right="0"/>
        <w:rPr>
          <w:rFonts w:eastAsia="Calibri"/>
          <w:lang w:eastAsia="en-US"/>
        </w:rPr>
      </w:pPr>
      <w:r w:rsidRPr="007D10FD">
        <w:rPr>
          <w:rFonts w:eastAsia="Calibri"/>
          <w:lang w:eastAsia="en-US"/>
        </w:rPr>
        <w:t xml:space="preserve">Symtom från mag-tarmkanalen såsom smärta, illamående och andra dyspeptiska symtom är icke‐specifika och kan orsakas av olika organiska sjukdomar både innanför och utanför matsmältningssystemet. Dessa sjukdomar kan då missas, eller diagnostik och behandling kan bli försenade om icke‐invasiv test for Hp-infektion är positiv och behandling mot Hp inleds. </w:t>
      </w:r>
    </w:p>
    <w:p w14:paraId="39C45BF3" w14:textId="77777777" w:rsidR="007D10FD" w:rsidRPr="007D10FD" w:rsidRDefault="007D10FD" w:rsidP="007D10FD">
      <w:pPr>
        <w:autoSpaceDE w:val="0"/>
        <w:autoSpaceDN w:val="0"/>
        <w:adjustRightInd w:val="0"/>
        <w:spacing w:after="0" w:line="240" w:lineRule="auto"/>
        <w:ind w:left="0" w:right="0"/>
        <w:rPr>
          <w:rFonts w:eastAsia="Calibri"/>
          <w:lang w:eastAsia="en-US"/>
        </w:rPr>
      </w:pPr>
    </w:p>
    <w:p w14:paraId="3D083E10" w14:textId="77777777" w:rsidR="007D10FD" w:rsidRPr="007D10FD" w:rsidRDefault="007D10FD" w:rsidP="007D10FD">
      <w:pPr>
        <w:autoSpaceDE w:val="0"/>
        <w:autoSpaceDN w:val="0"/>
        <w:adjustRightInd w:val="0"/>
        <w:spacing w:after="0" w:line="240" w:lineRule="auto"/>
        <w:ind w:left="0" w:right="0"/>
        <w:rPr>
          <w:rFonts w:eastAsia="Calibri"/>
          <w:lang w:eastAsia="en-US"/>
        </w:rPr>
      </w:pPr>
      <w:r w:rsidRPr="007D10FD">
        <w:rPr>
          <w:rFonts w:eastAsia="Calibri"/>
          <w:lang w:eastAsia="en-US"/>
        </w:rPr>
        <w:t xml:space="preserve">Alarmsymtom (s.k. ”red flags”) hos barn är dåligt utvärderade och symtom som kräkningar, ledsmärtor och nattligt uppvaknande finns både vid organiska och icke-organiska sjukdomar. </w:t>
      </w:r>
    </w:p>
    <w:p w14:paraId="0041BBEA" w14:textId="77777777" w:rsidR="007D10FD" w:rsidRPr="007D10FD" w:rsidRDefault="007D10FD" w:rsidP="007D10FD">
      <w:pPr>
        <w:autoSpaceDE w:val="0"/>
        <w:autoSpaceDN w:val="0"/>
        <w:adjustRightInd w:val="0"/>
        <w:spacing w:after="0" w:line="240" w:lineRule="auto"/>
        <w:ind w:left="0" w:right="0"/>
        <w:rPr>
          <w:rFonts w:eastAsia="Calibri"/>
          <w:lang w:eastAsia="en-US"/>
        </w:rPr>
      </w:pPr>
    </w:p>
    <w:p w14:paraId="74D2BA26" w14:textId="77777777" w:rsidR="007D10FD" w:rsidRPr="007D10FD" w:rsidRDefault="007D10FD" w:rsidP="007D10FD">
      <w:pPr>
        <w:autoSpaceDE w:val="0"/>
        <w:autoSpaceDN w:val="0"/>
        <w:adjustRightInd w:val="0"/>
        <w:spacing w:after="0" w:line="240" w:lineRule="auto"/>
        <w:ind w:left="0" w:right="0"/>
        <w:rPr>
          <w:rFonts w:eastAsia="Calibri"/>
          <w:lang w:eastAsia="en-US"/>
        </w:rPr>
      </w:pPr>
      <w:r w:rsidRPr="007D10FD">
        <w:rPr>
          <w:rFonts w:eastAsia="Calibri"/>
          <w:lang w:eastAsia="en-US"/>
        </w:rPr>
        <w:t xml:space="preserve">Blod i avföringen, anemi, tillväxtsvårigheter och viktförlust hos barn med kroniska buksmärtor är dock indikativa varningssignaler for inflammatorisk tarmsjukdom snarare än funktionell mag‐tarmsjukdom. </w:t>
      </w:r>
    </w:p>
    <w:p w14:paraId="533C4236" w14:textId="77777777" w:rsidR="007D10FD" w:rsidRPr="007D10FD" w:rsidRDefault="007D10FD" w:rsidP="007D10FD">
      <w:pPr>
        <w:autoSpaceDE w:val="0"/>
        <w:autoSpaceDN w:val="0"/>
        <w:adjustRightInd w:val="0"/>
        <w:spacing w:after="0" w:line="240" w:lineRule="auto"/>
        <w:ind w:left="0" w:right="0"/>
        <w:rPr>
          <w:rFonts w:eastAsia="Calibri"/>
          <w:lang w:eastAsia="en-US"/>
        </w:rPr>
      </w:pPr>
    </w:p>
    <w:p w14:paraId="49C4E3F7" w14:textId="77777777" w:rsidR="007D10FD" w:rsidRPr="007D10FD" w:rsidRDefault="007D10FD" w:rsidP="007D10FD">
      <w:pPr>
        <w:autoSpaceDE w:val="0"/>
        <w:autoSpaceDN w:val="0"/>
        <w:adjustRightInd w:val="0"/>
        <w:spacing w:after="0" w:line="240" w:lineRule="auto"/>
        <w:ind w:left="0" w:right="0"/>
        <w:rPr>
          <w:rFonts w:eastAsia="Calibri"/>
          <w:lang w:eastAsia="en-US"/>
        </w:rPr>
      </w:pPr>
      <w:r w:rsidRPr="007D10FD">
        <w:rPr>
          <w:rFonts w:eastAsia="Calibri"/>
          <w:lang w:eastAsia="en-US"/>
        </w:rPr>
        <w:t xml:space="preserve">Hp‐diagnostik kan övervägas vid handläggning av barn med förstagradssläktingar med Hp‐associerad ventrikel‐eller duodenalcancer, även om evidens för detta saknas. </w:t>
      </w:r>
    </w:p>
    <w:p w14:paraId="216A461C" w14:textId="77777777" w:rsidR="007D10FD" w:rsidRPr="007D10FD" w:rsidRDefault="007D10FD" w:rsidP="007D10FD">
      <w:pPr>
        <w:autoSpaceDE w:val="0"/>
        <w:autoSpaceDN w:val="0"/>
        <w:adjustRightInd w:val="0"/>
        <w:spacing w:after="0" w:line="240" w:lineRule="auto"/>
        <w:ind w:left="0" w:right="0"/>
        <w:rPr>
          <w:rFonts w:eastAsia="Calibri"/>
          <w:lang w:eastAsia="en-US"/>
        </w:rPr>
      </w:pPr>
    </w:p>
    <w:p w14:paraId="05106FAD" w14:textId="77777777" w:rsidR="007D10FD" w:rsidRPr="007D10FD" w:rsidRDefault="007D10FD" w:rsidP="007D10FD">
      <w:pPr>
        <w:autoSpaceDE w:val="0"/>
        <w:autoSpaceDN w:val="0"/>
        <w:adjustRightInd w:val="0"/>
        <w:spacing w:after="0" w:line="240" w:lineRule="auto"/>
        <w:ind w:left="0" w:right="0"/>
        <w:rPr>
          <w:rFonts w:eastAsia="Calibri"/>
          <w:lang w:eastAsia="en-US"/>
        </w:rPr>
      </w:pPr>
      <w:r w:rsidRPr="007D10FD">
        <w:rPr>
          <w:rFonts w:eastAsia="Calibri"/>
          <w:lang w:eastAsia="en-US"/>
        </w:rPr>
        <w:t>Hp‐diagnostik kan övervägas hos barn med behandlingsrefraktär järnbristanemi där andra orsaker uteslutits.</w:t>
      </w:r>
    </w:p>
    <w:p w14:paraId="6298E89B" w14:textId="77777777" w:rsidR="007D10FD" w:rsidRPr="007D10FD" w:rsidRDefault="007D10FD" w:rsidP="007D10FD">
      <w:pPr>
        <w:autoSpaceDE w:val="0"/>
        <w:autoSpaceDN w:val="0"/>
        <w:adjustRightInd w:val="0"/>
        <w:spacing w:after="0" w:line="240" w:lineRule="auto"/>
        <w:ind w:left="0" w:right="0"/>
        <w:rPr>
          <w:rFonts w:eastAsia="Calibri"/>
          <w:lang w:eastAsia="en-US"/>
        </w:rPr>
      </w:pPr>
    </w:p>
    <w:p w14:paraId="1F207B52" w14:textId="77777777" w:rsidR="007D10FD" w:rsidRPr="007D10FD" w:rsidRDefault="007D10FD" w:rsidP="00E013FA">
      <w:pPr>
        <w:pStyle w:val="Rubrik3"/>
        <w:rPr>
          <w:lang w:eastAsia="en-US"/>
        </w:rPr>
      </w:pPr>
      <w:r w:rsidRPr="007D10FD">
        <w:rPr>
          <w:lang w:eastAsia="en-US"/>
        </w:rPr>
        <w:t>Anamnes</w:t>
      </w:r>
    </w:p>
    <w:p w14:paraId="3C27B9AD" w14:textId="77777777" w:rsidR="007D10FD" w:rsidRPr="007D10FD" w:rsidRDefault="007D10FD" w:rsidP="007D10FD">
      <w:pPr>
        <w:numPr>
          <w:ilvl w:val="0"/>
          <w:numId w:val="22"/>
        </w:numPr>
        <w:autoSpaceDE w:val="0"/>
        <w:autoSpaceDN w:val="0"/>
        <w:adjustRightInd w:val="0"/>
        <w:spacing w:after="0" w:line="240" w:lineRule="auto"/>
        <w:ind w:right="0"/>
        <w:contextualSpacing/>
        <w:rPr>
          <w:rFonts w:eastAsia="Calibri"/>
          <w:color w:val="000000"/>
          <w:lang w:eastAsia="en-US"/>
        </w:rPr>
      </w:pPr>
      <w:r w:rsidRPr="007D10FD">
        <w:rPr>
          <w:rFonts w:eastAsia="Calibri"/>
          <w:color w:val="000000"/>
          <w:lang w:eastAsia="en-US"/>
        </w:rPr>
        <w:t>Noggrann smärtanamnes.</w:t>
      </w:r>
    </w:p>
    <w:p w14:paraId="5B0B0739" w14:textId="77777777" w:rsidR="007D10FD" w:rsidRPr="007D10FD" w:rsidRDefault="007D10FD" w:rsidP="007D10FD">
      <w:pPr>
        <w:numPr>
          <w:ilvl w:val="0"/>
          <w:numId w:val="22"/>
        </w:numPr>
        <w:autoSpaceDE w:val="0"/>
        <w:autoSpaceDN w:val="0"/>
        <w:adjustRightInd w:val="0"/>
        <w:spacing w:after="0" w:line="240" w:lineRule="auto"/>
        <w:ind w:right="0"/>
        <w:contextualSpacing/>
        <w:rPr>
          <w:rFonts w:eastAsia="Calibri"/>
          <w:color w:val="000000"/>
          <w:lang w:eastAsia="en-US"/>
        </w:rPr>
      </w:pPr>
      <w:r w:rsidRPr="007D10FD">
        <w:rPr>
          <w:rFonts w:eastAsia="Calibri"/>
          <w:color w:val="000000"/>
          <w:lang w:eastAsia="en-US"/>
        </w:rPr>
        <w:t xml:space="preserve">Efterfråga födelseland för båda föräldrarna. </w:t>
      </w:r>
    </w:p>
    <w:p w14:paraId="51210CB1" w14:textId="77777777" w:rsidR="007D10FD" w:rsidRPr="007D10FD" w:rsidRDefault="007D10FD" w:rsidP="007D10FD">
      <w:pPr>
        <w:numPr>
          <w:ilvl w:val="0"/>
          <w:numId w:val="22"/>
        </w:numPr>
        <w:autoSpaceDE w:val="0"/>
        <w:autoSpaceDN w:val="0"/>
        <w:adjustRightInd w:val="0"/>
        <w:spacing w:after="0" w:line="240" w:lineRule="auto"/>
        <w:ind w:right="0"/>
        <w:contextualSpacing/>
        <w:rPr>
          <w:rFonts w:eastAsia="Calibri"/>
          <w:color w:val="000000"/>
          <w:lang w:eastAsia="en-US"/>
        </w:rPr>
      </w:pPr>
      <w:r w:rsidRPr="007D10FD">
        <w:rPr>
          <w:rFonts w:eastAsia="Calibri"/>
          <w:color w:val="000000"/>
          <w:lang w:eastAsia="en-US"/>
        </w:rPr>
        <w:t xml:space="preserve">Bostadsstorlek? Hur många finns det i hushållet? Antal syskon? </w:t>
      </w:r>
    </w:p>
    <w:p w14:paraId="7BF0CD38" w14:textId="77777777" w:rsidR="007D10FD" w:rsidRPr="007D10FD" w:rsidRDefault="007D10FD" w:rsidP="007D10FD">
      <w:pPr>
        <w:numPr>
          <w:ilvl w:val="0"/>
          <w:numId w:val="22"/>
        </w:numPr>
        <w:autoSpaceDE w:val="0"/>
        <w:autoSpaceDN w:val="0"/>
        <w:adjustRightInd w:val="0"/>
        <w:spacing w:after="0" w:line="240" w:lineRule="auto"/>
        <w:ind w:right="0"/>
        <w:contextualSpacing/>
        <w:rPr>
          <w:rFonts w:eastAsia="Calibri"/>
          <w:color w:val="000000"/>
          <w:lang w:eastAsia="en-US"/>
        </w:rPr>
      </w:pPr>
      <w:r w:rsidRPr="007D10FD">
        <w:rPr>
          <w:rFonts w:eastAsia="Calibri"/>
          <w:color w:val="000000"/>
          <w:lang w:eastAsia="en-US"/>
        </w:rPr>
        <w:t xml:space="preserve">Har patienten delat säng med någon förälder eller syskon? </w:t>
      </w:r>
    </w:p>
    <w:p w14:paraId="5FFDE543" w14:textId="77777777" w:rsidR="007D10FD" w:rsidRPr="007D10FD" w:rsidRDefault="007D10FD" w:rsidP="007D10FD">
      <w:pPr>
        <w:numPr>
          <w:ilvl w:val="0"/>
          <w:numId w:val="22"/>
        </w:numPr>
        <w:autoSpaceDE w:val="0"/>
        <w:autoSpaceDN w:val="0"/>
        <w:adjustRightInd w:val="0"/>
        <w:spacing w:after="0" w:line="240" w:lineRule="auto"/>
        <w:ind w:right="0"/>
        <w:contextualSpacing/>
        <w:rPr>
          <w:rFonts w:eastAsia="Calibri"/>
          <w:color w:val="000000"/>
          <w:lang w:eastAsia="en-US"/>
        </w:rPr>
      </w:pPr>
      <w:r w:rsidRPr="007D10FD">
        <w:rPr>
          <w:rFonts w:eastAsia="Calibri"/>
          <w:color w:val="000000"/>
          <w:lang w:eastAsia="en-US"/>
        </w:rPr>
        <w:t>Finns det andra i familjen som haft Hp eller magsår?</w:t>
      </w:r>
    </w:p>
    <w:p w14:paraId="2A51285D" w14:textId="77777777" w:rsidR="007D10FD" w:rsidRPr="007D10FD" w:rsidRDefault="007D10FD" w:rsidP="007D10FD">
      <w:pPr>
        <w:numPr>
          <w:ilvl w:val="0"/>
          <w:numId w:val="22"/>
        </w:numPr>
        <w:autoSpaceDE w:val="0"/>
        <w:autoSpaceDN w:val="0"/>
        <w:adjustRightInd w:val="0"/>
        <w:spacing w:after="0" w:line="240" w:lineRule="auto"/>
        <w:ind w:right="0"/>
        <w:contextualSpacing/>
        <w:rPr>
          <w:rFonts w:eastAsia="Calibri"/>
          <w:color w:val="000000"/>
          <w:lang w:eastAsia="en-US"/>
        </w:rPr>
      </w:pPr>
      <w:r w:rsidRPr="007D10FD">
        <w:rPr>
          <w:rFonts w:eastAsia="Calibri"/>
          <w:color w:val="000000"/>
          <w:lang w:eastAsia="en-US"/>
        </w:rPr>
        <w:t xml:space="preserve">Antal antibiotikakurer, när och vad? </w:t>
      </w:r>
    </w:p>
    <w:p w14:paraId="06863647" w14:textId="77777777" w:rsidR="007D10FD" w:rsidRPr="007D10FD" w:rsidRDefault="007D10FD" w:rsidP="007D10FD">
      <w:pPr>
        <w:numPr>
          <w:ilvl w:val="0"/>
          <w:numId w:val="22"/>
        </w:numPr>
        <w:autoSpaceDE w:val="0"/>
        <w:autoSpaceDN w:val="0"/>
        <w:adjustRightInd w:val="0"/>
        <w:spacing w:after="0" w:line="240" w:lineRule="auto"/>
        <w:ind w:right="0"/>
        <w:contextualSpacing/>
        <w:rPr>
          <w:rFonts w:eastAsia="Calibri"/>
          <w:color w:val="000000"/>
          <w:lang w:eastAsia="en-US"/>
        </w:rPr>
      </w:pPr>
      <w:r w:rsidRPr="007D10FD">
        <w:rPr>
          <w:rFonts w:eastAsia="Calibri"/>
          <w:color w:val="000000"/>
          <w:lang w:eastAsia="en-US"/>
        </w:rPr>
        <w:t xml:space="preserve">Tidigare Hp-behandling? </w:t>
      </w:r>
    </w:p>
    <w:p w14:paraId="65DD0800" w14:textId="77777777" w:rsidR="007D10FD" w:rsidRPr="007D10FD" w:rsidRDefault="007D10FD" w:rsidP="007D10FD">
      <w:pPr>
        <w:numPr>
          <w:ilvl w:val="0"/>
          <w:numId w:val="22"/>
        </w:numPr>
        <w:autoSpaceDE w:val="0"/>
        <w:autoSpaceDN w:val="0"/>
        <w:adjustRightInd w:val="0"/>
        <w:spacing w:after="0" w:line="240" w:lineRule="auto"/>
        <w:ind w:right="0"/>
        <w:contextualSpacing/>
        <w:rPr>
          <w:rFonts w:eastAsia="Calibri"/>
          <w:color w:val="000000"/>
          <w:lang w:eastAsia="en-US"/>
        </w:rPr>
      </w:pPr>
      <w:r w:rsidRPr="007D10FD">
        <w:rPr>
          <w:rFonts w:eastAsia="Calibri"/>
          <w:color w:val="000000"/>
          <w:lang w:eastAsia="en-US"/>
        </w:rPr>
        <w:t xml:space="preserve">Utlands -eller institutionsboende? </w:t>
      </w:r>
    </w:p>
    <w:p w14:paraId="6B88C968" w14:textId="77777777" w:rsidR="007D10FD" w:rsidRPr="007D10FD" w:rsidRDefault="007D10FD" w:rsidP="007D10FD">
      <w:pPr>
        <w:autoSpaceDE w:val="0"/>
        <w:autoSpaceDN w:val="0"/>
        <w:adjustRightInd w:val="0"/>
        <w:spacing w:after="0" w:line="240" w:lineRule="auto"/>
        <w:ind w:left="0" w:right="0"/>
        <w:rPr>
          <w:rFonts w:eastAsia="Calibri"/>
          <w:b/>
          <w:bCs/>
          <w:color w:val="4F82BE"/>
          <w:lang w:eastAsia="en-US"/>
        </w:rPr>
      </w:pPr>
    </w:p>
    <w:p w14:paraId="79A379B6" w14:textId="77777777" w:rsidR="007D10FD" w:rsidRPr="007D10FD" w:rsidRDefault="007D10FD" w:rsidP="00E013FA">
      <w:pPr>
        <w:pStyle w:val="Rubrik3"/>
        <w:rPr>
          <w:lang w:eastAsia="en-US"/>
        </w:rPr>
      </w:pPr>
      <w:r w:rsidRPr="007D10FD">
        <w:rPr>
          <w:lang w:eastAsia="en-US"/>
        </w:rPr>
        <w:lastRenderedPageBreak/>
        <w:t xml:space="preserve">Blodprover </w:t>
      </w:r>
    </w:p>
    <w:p w14:paraId="0F8140B8" w14:textId="77777777" w:rsidR="007D10FD" w:rsidRPr="007D10FD" w:rsidRDefault="007D10FD" w:rsidP="007D10FD">
      <w:pPr>
        <w:autoSpaceDE w:val="0"/>
        <w:autoSpaceDN w:val="0"/>
        <w:adjustRightInd w:val="0"/>
        <w:spacing w:after="0" w:line="240" w:lineRule="auto"/>
        <w:ind w:left="0" w:right="0"/>
        <w:rPr>
          <w:rFonts w:eastAsia="Calibri"/>
          <w:color w:val="000000"/>
          <w:lang w:eastAsia="en-US"/>
        </w:rPr>
      </w:pPr>
      <w:r w:rsidRPr="007D10FD">
        <w:rPr>
          <w:rFonts w:eastAsia="Calibri"/>
          <w:color w:val="000000"/>
          <w:lang w:eastAsia="en-US"/>
        </w:rPr>
        <w:t xml:space="preserve">Hp-associerad järnbrist med och utan anemi finns beskriven hos barn och ungdomar i flera studier. </w:t>
      </w:r>
    </w:p>
    <w:p w14:paraId="6C9C8139" w14:textId="77777777" w:rsidR="007D10FD" w:rsidRPr="007D10FD" w:rsidRDefault="007D10FD" w:rsidP="007D10FD">
      <w:pPr>
        <w:autoSpaceDE w:val="0"/>
        <w:autoSpaceDN w:val="0"/>
        <w:adjustRightInd w:val="0"/>
        <w:spacing w:after="0" w:line="240" w:lineRule="auto"/>
        <w:ind w:left="0" w:right="0"/>
        <w:rPr>
          <w:rFonts w:eastAsia="Calibri"/>
          <w:color w:val="000000"/>
          <w:lang w:eastAsia="en-US"/>
        </w:rPr>
      </w:pPr>
      <w:r w:rsidRPr="007D10FD">
        <w:rPr>
          <w:rFonts w:eastAsia="Calibri"/>
          <w:color w:val="000000"/>
          <w:lang w:eastAsia="en-US"/>
        </w:rPr>
        <w:t>Differentialdiagnostiska överväganden bör inkludera:</w:t>
      </w:r>
    </w:p>
    <w:p w14:paraId="4B165241" w14:textId="77777777" w:rsidR="007D10FD" w:rsidRPr="007D10FD" w:rsidRDefault="007D10FD" w:rsidP="007D10FD">
      <w:pPr>
        <w:numPr>
          <w:ilvl w:val="0"/>
          <w:numId w:val="23"/>
        </w:numPr>
        <w:autoSpaceDE w:val="0"/>
        <w:autoSpaceDN w:val="0"/>
        <w:adjustRightInd w:val="0"/>
        <w:spacing w:after="0" w:line="240" w:lineRule="auto"/>
        <w:ind w:right="0"/>
        <w:contextualSpacing/>
        <w:rPr>
          <w:rFonts w:eastAsia="Calibri"/>
          <w:color w:val="000000"/>
          <w:lang w:eastAsia="en-US"/>
        </w:rPr>
      </w:pPr>
      <w:r w:rsidRPr="007D10FD">
        <w:rPr>
          <w:rFonts w:eastAsia="Calibri"/>
          <w:color w:val="000000"/>
          <w:lang w:eastAsia="en-US"/>
        </w:rPr>
        <w:t xml:space="preserve">celiaki, </w:t>
      </w:r>
    </w:p>
    <w:p w14:paraId="325E6CD8" w14:textId="77777777" w:rsidR="007D10FD" w:rsidRPr="007D10FD" w:rsidRDefault="007D10FD" w:rsidP="007D10FD">
      <w:pPr>
        <w:numPr>
          <w:ilvl w:val="0"/>
          <w:numId w:val="23"/>
        </w:numPr>
        <w:autoSpaceDE w:val="0"/>
        <w:autoSpaceDN w:val="0"/>
        <w:adjustRightInd w:val="0"/>
        <w:spacing w:after="0" w:line="240" w:lineRule="auto"/>
        <w:ind w:right="0"/>
        <w:contextualSpacing/>
        <w:rPr>
          <w:rFonts w:eastAsia="Calibri"/>
          <w:color w:val="000000"/>
          <w:lang w:eastAsia="en-US"/>
        </w:rPr>
      </w:pPr>
      <w:r w:rsidRPr="007D10FD">
        <w:rPr>
          <w:rFonts w:eastAsia="Calibri"/>
          <w:color w:val="000000"/>
          <w:lang w:eastAsia="en-US"/>
        </w:rPr>
        <w:t xml:space="preserve">IBD, </w:t>
      </w:r>
    </w:p>
    <w:p w14:paraId="6B825D27" w14:textId="50ECD0EF" w:rsidR="007D10FD" w:rsidRPr="007D10FD" w:rsidRDefault="007D10FD" w:rsidP="007D10FD">
      <w:pPr>
        <w:numPr>
          <w:ilvl w:val="0"/>
          <w:numId w:val="23"/>
        </w:numPr>
        <w:autoSpaceDE w:val="0"/>
        <w:autoSpaceDN w:val="0"/>
        <w:adjustRightInd w:val="0"/>
        <w:spacing w:after="0" w:line="240" w:lineRule="auto"/>
        <w:ind w:right="0"/>
        <w:contextualSpacing/>
        <w:rPr>
          <w:rFonts w:eastAsia="Calibri"/>
          <w:color w:val="000000"/>
          <w:lang w:eastAsia="en-US"/>
        </w:rPr>
      </w:pPr>
      <w:r w:rsidRPr="007D10FD">
        <w:rPr>
          <w:rFonts w:eastAsia="Calibri"/>
          <w:color w:val="000000"/>
          <w:lang w:eastAsia="en-US"/>
        </w:rPr>
        <w:t xml:space="preserve">lever‐ och pankreassjukdom, </w:t>
      </w:r>
    </w:p>
    <w:p w14:paraId="033C9456" w14:textId="77777777" w:rsidR="007D10FD" w:rsidRPr="007D10FD" w:rsidRDefault="007D10FD" w:rsidP="007D10FD">
      <w:pPr>
        <w:numPr>
          <w:ilvl w:val="0"/>
          <w:numId w:val="23"/>
        </w:numPr>
        <w:autoSpaceDE w:val="0"/>
        <w:autoSpaceDN w:val="0"/>
        <w:adjustRightInd w:val="0"/>
        <w:spacing w:after="0" w:line="240" w:lineRule="auto"/>
        <w:ind w:right="0"/>
        <w:contextualSpacing/>
        <w:rPr>
          <w:rFonts w:eastAsia="Calibri"/>
          <w:color w:val="000000"/>
          <w:lang w:val="en-US" w:eastAsia="en-US"/>
        </w:rPr>
      </w:pPr>
      <w:r w:rsidRPr="007D10FD">
        <w:rPr>
          <w:rFonts w:eastAsia="Calibri"/>
          <w:color w:val="000000"/>
          <w:lang w:val="en-US" w:eastAsia="en-US"/>
        </w:rPr>
        <w:t>CRP, Blodstatus med diff, S-Fe, S-ferritin.</w:t>
      </w:r>
    </w:p>
    <w:p w14:paraId="461361C3" w14:textId="5F7EA04E" w:rsidR="007D10FD" w:rsidRPr="007D10FD" w:rsidRDefault="007D10FD" w:rsidP="007D10FD">
      <w:pPr>
        <w:numPr>
          <w:ilvl w:val="0"/>
          <w:numId w:val="23"/>
        </w:numPr>
        <w:autoSpaceDE w:val="0"/>
        <w:autoSpaceDN w:val="0"/>
        <w:adjustRightInd w:val="0"/>
        <w:spacing w:after="0" w:line="240" w:lineRule="auto"/>
        <w:ind w:right="0"/>
        <w:contextualSpacing/>
        <w:rPr>
          <w:rFonts w:eastAsia="Calibri"/>
          <w:color w:val="000000"/>
          <w:lang w:val="en-US" w:eastAsia="en-US"/>
        </w:rPr>
      </w:pPr>
      <w:r w:rsidRPr="007D10FD">
        <w:rPr>
          <w:rFonts w:eastAsia="Calibri"/>
          <w:color w:val="000000"/>
          <w:lang w:val="en-US" w:eastAsia="en-US"/>
        </w:rPr>
        <w:t xml:space="preserve">Hp-antigen </w:t>
      </w:r>
      <w:r w:rsidR="00DD35F6">
        <w:rPr>
          <w:rFonts w:eastAsia="Calibri"/>
          <w:color w:val="000000"/>
          <w:lang w:val="en-US" w:eastAsia="en-US"/>
        </w:rPr>
        <w:t>i</w:t>
      </w:r>
      <w:r w:rsidRPr="007D10FD">
        <w:rPr>
          <w:rFonts w:eastAsia="Calibri"/>
          <w:color w:val="000000"/>
          <w:lang w:val="en-US" w:eastAsia="en-US"/>
        </w:rPr>
        <w:t xml:space="preserve"> faeces</w:t>
      </w:r>
    </w:p>
    <w:p w14:paraId="709A4A5C" w14:textId="77777777" w:rsidR="007D10FD" w:rsidRPr="007D10FD" w:rsidRDefault="007D10FD" w:rsidP="007D10FD">
      <w:pPr>
        <w:autoSpaceDE w:val="0"/>
        <w:autoSpaceDN w:val="0"/>
        <w:adjustRightInd w:val="0"/>
        <w:spacing w:after="0" w:line="240" w:lineRule="auto"/>
        <w:ind w:left="720" w:right="0"/>
        <w:contextualSpacing/>
        <w:rPr>
          <w:rFonts w:eastAsia="Calibri"/>
          <w:color w:val="000000"/>
          <w:lang w:val="en-US" w:eastAsia="en-US"/>
        </w:rPr>
      </w:pPr>
    </w:p>
    <w:p w14:paraId="6A239811" w14:textId="77777777" w:rsidR="007D10FD" w:rsidRPr="007D10FD" w:rsidRDefault="007D10FD" w:rsidP="007D10FD">
      <w:pPr>
        <w:autoSpaceDE w:val="0"/>
        <w:autoSpaceDN w:val="0"/>
        <w:adjustRightInd w:val="0"/>
        <w:spacing w:after="0" w:line="240" w:lineRule="auto"/>
        <w:ind w:left="0" w:right="0"/>
        <w:rPr>
          <w:rFonts w:eastAsia="Calibri"/>
          <w:color w:val="000000"/>
          <w:lang w:val="en-US" w:eastAsia="en-US"/>
        </w:rPr>
      </w:pPr>
    </w:p>
    <w:p w14:paraId="728DACB3" w14:textId="77777777" w:rsidR="007D10FD" w:rsidRPr="007D10FD" w:rsidRDefault="007D10FD" w:rsidP="007D10FD">
      <w:pPr>
        <w:spacing w:after="200" w:line="276" w:lineRule="auto"/>
        <w:ind w:left="0" w:right="0"/>
        <w:rPr>
          <w:rFonts w:eastAsia="Calibri"/>
          <w:lang w:eastAsia="en-US"/>
        </w:rPr>
      </w:pPr>
      <w:r w:rsidRPr="007D10FD">
        <w:rPr>
          <w:rFonts w:eastAsia="Calibri"/>
          <w:lang w:eastAsia="en-US"/>
        </w:rPr>
        <w:t>2022-11-15</w:t>
      </w:r>
    </w:p>
    <w:p w14:paraId="3B93A4BC" w14:textId="43589D1F" w:rsidR="007D10FD" w:rsidRPr="007D10FD" w:rsidRDefault="007D10FD" w:rsidP="007D10FD">
      <w:pPr>
        <w:spacing w:after="200" w:line="276" w:lineRule="auto"/>
        <w:ind w:left="0" w:right="0"/>
        <w:rPr>
          <w:rFonts w:eastAsia="Calibri"/>
          <w:lang w:eastAsia="en-US"/>
        </w:rPr>
      </w:pPr>
      <w:r w:rsidRPr="007D10FD">
        <w:rPr>
          <w:rFonts w:eastAsia="Calibri"/>
          <w:lang w:eastAsia="en-US"/>
        </w:rPr>
        <w:t>Rikard Arkel</w:t>
      </w:r>
      <w:r w:rsidRPr="007D10FD">
        <w:rPr>
          <w:rFonts w:eastAsia="Calibri"/>
          <w:lang w:eastAsia="en-US"/>
        </w:rPr>
        <w:tab/>
      </w:r>
      <w:r w:rsidR="00AE753D">
        <w:rPr>
          <w:rFonts w:eastAsia="Calibri"/>
          <w:lang w:eastAsia="en-US"/>
        </w:rPr>
        <w:t xml:space="preserve">                     </w:t>
      </w:r>
      <w:r w:rsidRPr="007D10FD">
        <w:rPr>
          <w:rFonts w:eastAsia="Calibri"/>
          <w:lang w:eastAsia="en-US"/>
        </w:rPr>
        <w:t>Tom Nicolajsen</w:t>
      </w:r>
      <w:r w:rsidRPr="007D10FD">
        <w:rPr>
          <w:rFonts w:eastAsia="Calibri"/>
          <w:lang w:eastAsia="en-US"/>
        </w:rPr>
        <w:tab/>
        <w:t>Linn Fransson</w:t>
      </w:r>
      <w:r w:rsidRPr="007D10FD">
        <w:rPr>
          <w:rFonts w:eastAsia="Calibri"/>
          <w:lang w:eastAsia="en-US"/>
        </w:rPr>
        <w:tab/>
      </w:r>
    </w:p>
    <w:p w14:paraId="2A23992A" w14:textId="77777777" w:rsidR="007D10FD" w:rsidRPr="007D10FD" w:rsidRDefault="007D10FD" w:rsidP="007D10FD">
      <w:pPr>
        <w:spacing w:after="200" w:line="276" w:lineRule="auto"/>
        <w:ind w:left="0" w:right="0"/>
        <w:rPr>
          <w:rFonts w:eastAsia="Calibri"/>
          <w:lang w:eastAsia="en-US"/>
        </w:rPr>
      </w:pPr>
      <w:r w:rsidRPr="007D10FD">
        <w:rPr>
          <w:rFonts w:eastAsia="Calibri"/>
          <w:lang w:eastAsia="en-US"/>
        </w:rPr>
        <w:t>Överläkare</w:t>
      </w:r>
      <w:r w:rsidRPr="007D10FD">
        <w:rPr>
          <w:rFonts w:eastAsia="Calibri"/>
          <w:lang w:eastAsia="en-US"/>
        </w:rPr>
        <w:tab/>
      </w:r>
      <w:r w:rsidRPr="007D10FD">
        <w:rPr>
          <w:rFonts w:eastAsia="Calibri"/>
          <w:lang w:eastAsia="en-US"/>
        </w:rPr>
        <w:tab/>
        <w:t>Överläkare</w:t>
      </w:r>
      <w:r w:rsidRPr="007D10FD">
        <w:rPr>
          <w:rFonts w:eastAsia="Calibri"/>
          <w:lang w:eastAsia="en-US"/>
        </w:rPr>
        <w:tab/>
      </w:r>
      <w:r w:rsidRPr="007D10FD">
        <w:rPr>
          <w:rFonts w:eastAsia="Calibri"/>
          <w:lang w:eastAsia="en-US"/>
        </w:rPr>
        <w:tab/>
        <w:t>Specialistläkare</w:t>
      </w:r>
    </w:p>
    <w:p w14:paraId="32B7A412" w14:textId="77777777" w:rsidR="007D10FD" w:rsidRPr="007D10FD" w:rsidRDefault="007D10FD" w:rsidP="007D10FD">
      <w:pPr>
        <w:spacing w:after="200" w:line="276" w:lineRule="auto"/>
        <w:ind w:left="0" w:right="0"/>
        <w:rPr>
          <w:rFonts w:eastAsia="Calibri"/>
          <w:lang w:eastAsia="en-US"/>
        </w:rPr>
      </w:pPr>
    </w:p>
    <w:p w14:paraId="4A1E08C6" w14:textId="77777777" w:rsidR="007D10FD" w:rsidRPr="007D10FD" w:rsidRDefault="007D10FD" w:rsidP="007D10FD">
      <w:pPr>
        <w:spacing w:after="200" w:line="276" w:lineRule="auto"/>
        <w:ind w:left="0" w:right="0"/>
        <w:rPr>
          <w:rFonts w:eastAsia="Calibri"/>
          <w:lang w:eastAsia="en-US"/>
        </w:rPr>
      </w:pPr>
      <w:r w:rsidRPr="007D10FD">
        <w:rPr>
          <w:rFonts w:eastAsia="Calibri"/>
          <w:lang w:eastAsia="en-US"/>
        </w:rPr>
        <w:t>Victor Gustafsson</w:t>
      </w:r>
    </w:p>
    <w:p w14:paraId="7D4383A5" w14:textId="77777777" w:rsidR="007D10FD" w:rsidRPr="007D10FD" w:rsidRDefault="007D10FD" w:rsidP="007D10FD">
      <w:pPr>
        <w:spacing w:after="200" w:line="276" w:lineRule="auto"/>
        <w:ind w:left="0" w:right="0"/>
        <w:rPr>
          <w:rFonts w:eastAsia="Calibri"/>
          <w:lang w:eastAsia="en-US"/>
        </w:rPr>
      </w:pPr>
      <w:r w:rsidRPr="007D10FD">
        <w:rPr>
          <w:rFonts w:eastAsia="Calibri"/>
          <w:lang w:eastAsia="en-US"/>
        </w:rPr>
        <w:t>Specialistläkare</w:t>
      </w:r>
    </w:p>
    <w:p w14:paraId="715CA08A" w14:textId="77777777" w:rsidR="00763B32" w:rsidRPr="00AE753D" w:rsidRDefault="00763B32" w:rsidP="008156BE"/>
    <w:sectPr w:rsidR="00763B32" w:rsidRPr="00AE753D" w:rsidSect="007B54A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AD055" w14:textId="77777777" w:rsidR="00BF52C7" w:rsidRDefault="00BF52C7">
      <w:r>
        <w:separator/>
      </w:r>
    </w:p>
  </w:endnote>
  <w:endnote w:type="continuationSeparator" w:id="0">
    <w:p w14:paraId="1258BA47" w14:textId="77777777" w:rsidR="00BF52C7" w:rsidRDefault="00BF52C7">
      <w:r>
        <w:continuationSeparator/>
      </w:r>
    </w:p>
  </w:endnote>
  <w:endnote w:type="continuationNotice" w:id="1">
    <w:p w14:paraId="1AF5F108" w14:textId="77777777" w:rsidR="00BF52C7" w:rsidRDefault="00BF52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23E23" w14:textId="77777777" w:rsidR="00BF52C7" w:rsidRDefault="00BF52C7"/>
  </w:footnote>
  <w:footnote w:type="continuationSeparator" w:id="0">
    <w:p w14:paraId="33D86155" w14:textId="77777777" w:rsidR="00BF52C7" w:rsidRDefault="00BF52C7">
      <w:r>
        <w:continuationSeparator/>
      </w:r>
    </w:p>
  </w:footnote>
  <w:footnote w:type="continuationNotice" w:id="1">
    <w:p w14:paraId="0EE93D2E" w14:textId="77777777" w:rsidR="00BF52C7" w:rsidRDefault="00BF52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EEA5BA3"/>
    <w:multiLevelType w:val="hybridMultilevel"/>
    <w:tmpl w:val="B00C361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CD41FE6"/>
    <w:multiLevelType w:val="hybridMultilevel"/>
    <w:tmpl w:val="EAC421C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6BC36E32"/>
    <w:multiLevelType w:val="hybridMultilevel"/>
    <w:tmpl w:val="79900D6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2AC7BA0"/>
    <w:multiLevelType w:val="hybridMultilevel"/>
    <w:tmpl w:val="0DA6ED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abstractNumId w:val="21"/>
  </w:num>
  <w:num w:numId="2">
    <w:abstractNumId w:val="16"/>
  </w:num>
  <w:num w:numId="3">
    <w:abstractNumId w:val="0"/>
  </w:num>
  <w:num w:numId="4">
    <w:abstractNumId w:val="8"/>
  </w:num>
  <w:num w:numId="5">
    <w:abstractNumId w:val="18"/>
  </w:num>
  <w:num w:numId="6">
    <w:abstractNumId w:val="2"/>
  </w:num>
  <w:num w:numId="7">
    <w:abstractNumId w:val="13"/>
  </w:num>
  <w:num w:numId="8">
    <w:abstractNumId w:val="10"/>
  </w:num>
  <w:num w:numId="9">
    <w:abstractNumId w:val="1"/>
  </w:num>
  <w:num w:numId="10">
    <w:abstractNumId w:val="1"/>
  </w:num>
  <w:num w:numId="11">
    <w:abstractNumId w:val="3"/>
  </w:num>
  <w:num w:numId="12">
    <w:abstractNumId w:val="5"/>
  </w:num>
  <w:num w:numId="13">
    <w:abstractNumId w:val="15"/>
  </w:num>
  <w:num w:numId="14">
    <w:abstractNumId w:val="11"/>
  </w:num>
  <w:num w:numId="15">
    <w:abstractNumId w:val="9"/>
  </w:num>
  <w:num w:numId="16">
    <w:abstractNumId w:val="14"/>
  </w:num>
  <w:num w:numId="17">
    <w:abstractNumId w:val="6"/>
  </w:num>
  <w:num w:numId="18">
    <w:abstractNumId w:val="12"/>
  </w:num>
  <w:num w:numId="19">
    <w:abstractNumId w:val="20"/>
  </w:num>
  <w:num w:numId="20">
    <w:abstractNumId w:val="7"/>
  </w:num>
  <w:num w:numId="21">
    <w:abstractNumId w:val="17"/>
  </w:num>
  <w:num w:numId="22">
    <w:abstractNumId w:val="19"/>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2B06"/>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169B"/>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16F39"/>
    <w:rsid w:val="0072075B"/>
    <w:rsid w:val="007221C2"/>
    <w:rsid w:val="00725816"/>
    <w:rsid w:val="00726007"/>
    <w:rsid w:val="00730955"/>
    <w:rsid w:val="00733A9C"/>
    <w:rsid w:val="00736574"/>
    <w:rsid w:val="007367E0"/>
    <w:rsid w:val="00737215"/>
    <w:rsid w:val="00754905"/>
    <w:rsid w:val="00760038"/>
    <w:rsid w:val="00762EE0"/>
    <w:rsid w:val="00763B32"/>
    <w:rsid w:val="00765C41"/>
    <w:rsid w:val="00771100"/>
    <w:rsid w:val="007759DD"/>
    <w:rsid w:val="0078609F"/>
    <w:rsid w:val="007917BA"/>
    <w:rsid w:val="007A5C6F"/>
    <w:rsid w:val="007B54AF"/>
    <w:rsid w:val="007D10FD"/>
    <w:rsid w:val="007D4241"/>
    <w:rsid w:val="007D4317"/>
    <w:rsid w:val="007D4EA3"/>
    <w:rsid w:val="007F1CFF"/>
    <w:rsid w:val="007F5DD5"/>
    <w:rsid w:val="008156BE"/>
    <w:rsid w:val="00821A1B"/>
    <w:rsid w:val="008262E9"/>
    <w:rsid w:val="00827E69"/>
    <w:rsid w:val="00835C4D"/>
    <w:rsid w:val="00841D74"/>
    <w:rsid w:val="00843F48"/>
    <w:rsid w:val="00851423"/>
    <w:rsid w:val="00857848"/>
    <w:rsid w:val="008647B1"/>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9F7FE9"/>
    <w:rsid w:val="00A006A5"/>
    <w:rsid w:val="00A05942"/>
    <w:rsid w:val="00A07BEC"/>
    <w:rsid w:val="00A264BE"/>
    <w:rsid w:val="00A272CA"/>
    <w:rsid w:val="00A33051"/>
    <w:rsid w:val="00A407AD"/>
    <w:rsid w:val="00A40923"/>
    <w:rsid w:val="00A41C05"/>
    <w:rsid w:val="00A42426"/>
    <w:rsid w:val="00A44A00"/>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E753D"/>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131E"/>
    <w:rsid w:val="00BF52C7"/>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459A"/>
    <w:rsid w:val="00CC52D9"/>
    <w:rsid w:val="00CD6647"/>
    <w:rsid w:val="00CE4B73"/>
    <w:rsid w:val="00CF70BB"/>
    <w:rsid w:val="00D074DB"/>
    <w:rsid w:val="00D139CF"/>
    <w:rsid w:val="00D37E7F"/>
    <w:rsid w:val="00D47AD7"/>
    <w:rsid w:val="00D51529"/>
    <w:rsid w:val="00D85218"/>
    <w:rsid w:val="00D85C72"/>
    <w:rsid w:val="00D915B1"/>
    <w:rsid w:val="00DA299D"/>
    <w:rsid w:val="00DA65C4"/>
    <w:rsid w:val="00DD2BE0"/>
    <w:rsid w:val="00DD35F6"/>
    <w:rsid w:val="00DE4447"/>
    <w:rsid w:val="00DE5DA2"/>
    <w:rsid w:val="00DF0033"/>
    <w:rsid w:val="00E013FA"/>
    <w:rsid w:val="00E026BF"/>
    <w:rsid w:val="00E07B1B"/>
    <w:rsid w:val="00E11853"/>
    <w:rsid w:val="00E52A86"/>
    <w:rsid w:val="00E54B47"/>
    <w:rsid w:val="00E553BF"/>
    <w:rsid w:val="00E55D93"/>
    <w:rsid w:val="00E61294"/>
    <w:rsid w:val="00E7237C"/>
    <w:rsid w:val="00E73411"/>
    <w:rsid w:val="00E77C46"/>
    <w:rsid w:val="00E86CE8"/>
    <w:rsid w:val="00E90E82"/>
    <w:rsid w:val="00EA00CB"/>
    <w:rsid w:val="00EA1BAA"/>
    <w:rsid w:val="00EA3FCD"/>
    <w:rsid w:val="00EA42A0"/>
    <w:rsid w:val="00EB6714"/>
    <w:rsid w:val="00EC0A68"/>
    <w:rsid w:val="00EC5006"/>
    <w:rsid w:val="00ED49C3"/>
    <w:rsid w:val="00ED5B7F"/>
    <w:rsid w:val="00ED6CE8"/>
    <w:rsid w:val="00ED7AA6"/>
    <w:rsid w:val="00EE2A56"/>
    <w:rsid w:val="00EE3818"/>
    <w:rsid w:val="00F22264"/>
    <w:rsid w:val="00F2564D"/>
    <w:rsid w:val="00F35B05"/>
    <w:rsid w:val="00F413D9"/>
    <w:rsid w:val="00F5135F"/>
    <w:rsid w:val="00F51F78"/>
    <w:rsid w:val="00F86F47"/>
    <w:rsid w:val="00F90B64"/>
    <w:rsid w:val="00FB0194"/>
    <w:rsid w:val="00FB2F0F"/>
    <w:rsid w:val="00FB5086"/>
    <w:rsid w:val="00FB5411"/>
    <w:rsid w:val="00FB6392"/>
    <w:rsid w:val="00FB7E41"/>
    <w:rsid w:val="00FC2E43"/>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lakartidningen.se/klinik-och-vetenskap-1/artiklar-1/klinisk-oversikt/2018/03/strategin-testa-och-behandla-rekommenderas-inte-for-barn/"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17</TotalTime>
  <Pages>2</Pages>
  <Words>365</Words>
  <Characters>1938</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2299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Helicobacter Pylori utredningskrav</dc:title>
  <dc:subject/>
  <dc:creator>patrik.jens.johansson@vgregion.se</dc:creator>
  <keywords/>
  <lastModifiedBy>Eva Andersen</lastModifiedBy>
  <revision>22</revision>
  <lastPrinted>2016-03-31T10:56:00.0000000Z</lastPrinted>
  <dcterms:created xsi:type="dcterms:W3CDTF">2022-05-16T03:53:00.0000000Z</dcterms:created>
  <dcterms:modified xsi:type="dcterms:W3CDTF">2022-12-07T08:05:00.0000000Z</dcterms:modified>
</coreProperties>
</file>