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Pr="00AE753D" w:rsidRDefault="00536A5A" w:rsidP="008156BE"/>
    <w:p w14:paraId="4155AB7D" w14:textId="77777777" w:rsidR="00763B32" w:rsidRPr="00AE753D" w:rsidRDefault="00763B32" w:rsidP="008156BE"/>
    <w:p w14:paraId="25CC8F6F" w14:textId="77777777" w:rsidR="00763B32" w:rsidRPr="00AE753D" w:rsidRDefault="00763B32" w:rsidP="008156BE"/>
    <w:p w14:paraId="7750FC31" w14:textId="77777777" w:rsidR="00763B32" w:rsidRPr="00AE753D" w:rsidRDefault="00763B32" w:rsidP="008156BE"/>
    <w:p w14:paraId="64926FD6" w14:textId="77777777" w:rsidR="007D10FD" w:rsidRPr="007D10FD" w:rsidRDefault="007D10FD" w:rsidP="00AE753D">
      <w:pPr>
        <w:pStyle w:val="Rubrik1"/>
        <w:rPr>
          <w:lang w:eastAsia="en-US"/>
        </w:rPr>
      </w:pPr>
      <w:r w:rsidRPr="007D10FD">
        <w:rPr>
          <w:lang w:eastAsia="en-US"/>
        </w:rPr>
        <w:t>Helicobacter Pylori utredningskrav</w:t>
      </w:r>
    </w:p>
    <w:p w14:paraId="60D952A9" w14:textId="77777777" w:rsidR="007D10FD" w:rsidRPr="007D10FD" w:rsidRDefault="007D10FD" w:rsidP="007D10FD">
      <w:pPr>
        <w:spacing w:after="200" w:line="276" w:lineRule="auto"/>
        <w:ind w:left="0" w:right="0"/>
        <w:rPr>
          <w:rFonts w:eastAsia="Calibri"/>
          <w:lang w:eastAsia="en-US"/>
        </w:rPr>
      </w:pPr>
      <w:r w:rsidRPr="007D10FD">
        <w:rPr>
          <w:rFonts w:eastAsia="Calibri"/>
          <w:lang w:eastAsia="en-US"/>
        </w:rPr>
        <w:t>För mer utförlig dokumentation hänvisas till artikel i Läkartidningen 2018, Thomas Casswall</w:t>
      </w:r>
      <w:r w:rsidRPr="007D10FD">
        <w:rPr>
          <w:rFonts w:eastAsia="Calibri"/>
          <w:sz w:val="22"/>
          <w:szCs w:val="22"/>
          <w:lang w:eastAsia="en-US"/>
        </w:rPr>
        <w:t xml:space="preserve"> </w:t>
      </w:r>
      <w:hyperlink r:id="rId12" w:history="1">
        <w:r w:rsidRPr="007D10FD">
          <w:rPr>
            <w:rFonts w:eastAsia="Calibri"/>
            <w:color w:val="0000FF"/>
            <w:sz w:val="22"/>
            <w:szCs w:val="22"/>
            <w:u w:val="single"/>
            <w:lang w:eastAsia="en-US"/>
          </w:rPr>
          <w:t>Strategin »testa och behandla« rekommenderas inte för barn (lakartidningen.se)</w:t>
        </w:r>
      </w:hyperlink>
    </w:p>
    <w:p w14:paraId="0C450925"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4F7C8B8F"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 xml:space="preserve">Den primära målsättningen med utredning av gastrointestinala symtom är att söka orsaken till symtomen och inte enbart förekomst av Hp. </w:t>
      </w:r>
    </w:p>
    <w:p w14:paraId="7802D2D9"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1F5FD03C"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 xml:space="preserve">Symtom från mag-tarmkanalen såsom smärta, illamående och andra dyspeptiska symtom är icke‐specifika och kan orsakas av olika organiska sjukdomar både innanför och utanför matsmältningssystemet. Dessa sjukdomar kan då missas, eller diagnostik och behandling kan bli försenade om icke‐invasiv test for Hp-infektion är positiv och behandling mot Hp inleds. </w:t>
      </w:r>
    </w:p>
    <w:p w14:paraId="39C45BF3"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3D083E10"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 xml:space="preserve">Alarmsymtom (s.k. ”red flags”) hos barn är dåligt utvärderade och symtom som kräkningar, ledsmärtor och nattligt uppvaknande finns både vid organiska och icke-organiska sjukdomar. </w:t>
      </w:r>
    </w:p>
    <w:p w14:paraId="0041BBEA"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74D2BA26"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 xml:space="preserve">Blod i avföringen, anemi, tillväxtsvårigheter och viktförlust hos barn med kroniska buksmärtor är dock indikativa varningssignaler for inflammatorisk tarmsjukdom snarare än funktionell mag‐tarmsjukdom. </w:t>
      </w:r>
    </w:p>
    <w:p w14:paraId="533C4236"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49C4E3F7"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 xml:space="preserve">Hp‐diagnostik kan övervägas vid handläggning av barn med förstagradssläktingar med Hp‐associerad ventrikel‐eller duodenalcancer, även om evidens för detta saknas. </w:t>
      </w:r>
    </w:p>
    <w:p w14:paraId="216A461C"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05106FAD" w14:textId="77777777" w:rsidR="007D10FD" w:rsidRPr="007D10FD" w:rsidRDefault="007D10FD" w:rsidP="007D10FD">
      <w:pPr>
        <w:autoSpaceDE w:val="0"/>
        <w:autoSpaceDN w:val="0"/>
        <w:adjustRightInd w:val="0"/>
        <w:spacing w:after="0" w:line="240" w:lineRule="auto"/>
        <w:ind w:left="0" w:right="0"/>
        <w:rPr>
          <w:rFonts w:eastAsia="Calibri"/>
          <w:lang w:eastAsia="en-US"/>
        </w:rPr>
      </w:pPr>
      <w:r w:rsidRPr="007D10FD">
        <w:rPr>
          <w:rFonts w:eastAsia="Calibri"/>
          <w:lang w:eastAsia="en-US"/>
        </w:rPr>
        <w:t>Hp‐diagnostik kan övervägas hos barn med behandlingsrefraktär järnbristanemi där andra orsaker uteslutits.</w:t>
      </w:r>
    </w:p>
    <w:p w14:paraId="6298E89B" w14:textId="77777777" w:rsidR="007D10FD" w:rsidRPr="007D10FD" w:rsidRDefault="007D10FD" w:rsidP="007D10FD">
      <w:pPr>
        <w:autoSpaceDE w:val="0"/>
        <w:autoSpaceDN w:val="0"/>
        <w:adjustRightInd w:val="0"/>
        <w:spacing w:after="0" w:line="240" w:lineRule="auto"/>
        <w:ind w:left="0" w:right="0"/>
        <w:rPr>
          <w:rFonts w:eastAsia="Calibri"/>
          <w:lang w:eastAsia="en-US"/>
        </w:rPr>
      </w:pPr>
    </w:p>
    <w:p w14:paraId="1F207B52" w14:textId="77777777" w:rsidR="007D10FD" w:rsidRPr="007D10FD" w:rsidRDefault="007D10FD" w:rsidP="00E013FA">
      <w:pPr>
        <w:pStyle w:val="Rubrik3"/>
        <w:rPr>
          <w:lang w:eastAsia="en-US"/>
        </w:rPr>
      </w:pPr>
      <w:r w:rsidRPr="007D10FD">
        <w:rPr>
          <w:lang w:eastAsia="en-US"/>
        </w:rPr>
        <w:t>Anamnes</w:t>
      </w:r>
    </w:p>
    <w:p w14:paraId="3C27B9AD"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Noggrann smärtanamnes.</w:t>
      </w:r>
    </w:p>
    <w:p w14:paraId="5B0B0739"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Efterfråga födelseland för båda föräldrarna. </w:t>
      </w:r>
    </w:p>
    <w:p w14:paraId="51210CB1"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Bostadsstorlek? Hur många finns det i hushållet? Antal syskon? </w:t>
      </w:r>
    </w:p>
    <w:p w14:paraId="7BF0CD38"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Har patienten delat säng med någon förälder eller syskon? </w:t>
      </w:r>
    </w:p>
    <w:p w14:paraId="5FFDE543"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Finns det andra i familjen som haft Hp eller magsår?</w:t>
      </w:r>
    </w:p>
    <w:p w14:paraId="2A51285D"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Antal antibiotikakurer, när och vad? </w:t>
      </w:r>
    </w:p>
    <w:p w14:paraId="06863647"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Tidigare Hp-behandling? </w:t>
      </w:r>
    </w:p>
    <w:p w14:paraId="65DD0800" w14:textId="77777777" w:rsidR="007D10FD" w:rsidRPr="007D10FD" w:rsidRDefault="007D10FD" w:rsidP="007D10FD">
      <w:pPr>
        <w:numPr>
          <w:ilvl w:val="0"/>
          <w:numId w:val="22"/>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Utlands -eller institutionsboende? </w:t>
      </w:r>
    </w:p>
    <w:p w14:paraId="6B88C968" w14:textId="77777777" w:rsidR="007D10FD" w:rsidRPr="007D10FD" w:rsidRDefault="007D10FD" w:rsidP="007D10FD">
      <w:pPr>
        <w:autoSpaceDE w:val="0"/>
        <w:autoSpaceDN w:val="0"/>
        <w:adjustRightInd w:val="0"/>
        <w:spacing w:after="0" w:line="240" w:lineRule="auto"/>
        <w:ind w:left="0" w:right="0"/>
        <w:rPr>
          <w:rFonts w:eastAsia="Calibri"/>
          <w:b/>
          <w:bCs/>
          <w:color w:val="4F82BE"/>
          <w:lang w:eastAsia="en-US"/>
        </w:rPr>
      </w:pPr>
    </w:p>
    <w:p w14:paraId="79A379B6" w14:textId="77777777" w:rsidR="007D10FD" w:rsidRPr="007D10FD" w:rsidRDefault="007D10FD" w:rsidP="00E013FA">
      <w:pPr>
        <w:pStyle w:val="Rubrik3"/>
        <w:rPr>
          <w:lang w:eastAsia="en-US"/>
        </w:rPr>
      </w:pPr>
      <w:r w:rsidRPr="007D10FD">
        <w:rPr>
          <w:lang w:eastAsia="en-US"/>
        </w:rPr>
        <w:lastRenderedPageBreak/>
        <w:t xml:space="preserve">Blodprover </w:t>
      </w:r>
    </w:p>
    <w:p w14:paraId="0F8140B8" w14:textId="77777777" w:rsidR="007D10FD" w:rsidRPr="007D10FD" w:rsidRDefault="007D10FD" w:rsidP="007D10FD">
      <w:pPr>
        <w:autoSpaceDE w:val="0"/>
        <w:autoSpaceDN w:val="0"/>
        <w:adjustRightInd w:val="0"/>
        <w:spacing w:after="0" w:line="240" w:lineRule="auto"/>
        <w:ind w:left="0" w:right="0"/>
        <w:rPr>
          <w:rFonts w:eastAsia="Calibri"/>
          <w:color w:val="000000"/>
          <w:lang w:eastAsia="en-US"/>
        </w:rPr>
      </w:pPr>
      <w:r w:rsidRPr="007D10FD">
        <w:rPr>
          <w:rFonts w:eastAsia="Calibri"/>
          <w:color w:val="000000"/>
          <w:lang w:eastAsia="en-US"/>
        </w:rPr>
        <w:t xml:space="preserve">Hp-associerad järnbrist med och utan anemi finns beskriven hos barn och ungdomar i flera studier. </w:t>
      </w:r>
    </w:p>
    <w:p w14:paraId="6C9C8139" w14:textId="77777777" w:rsidR="007D10FD" w:rsidRPr="007D10FD" w:rsidRDefault="007D10FD" w:rsidP="007D10FD">
      <w:pPr>
        <w:autoSpaceDE w:val="0"/>
        <w:autoSpaceDN w:val="0"/>
        <w:adjustRightInd w:val="0"/>
        <w:spacing w:after="0" w:line="240" w:lineRule="auto"/>
        <w:ind w:left="0" w:right="0"/>
        <w:rPr>
          <w:rFonts w:eastAsia="Calibri"/>
          <w:color w:val="000000"/>
          <w:lang w:eastAsia="en-US"/>
        </w:rPr>
      </w:pPr>
      <w:r w:rsidRPr="007D10FD">
        <w:rPr>
          <w:rFonts w:eastAsia="Calibri"/>
          <w:color w:val="000000"/>
          <w:lang w:eastAsia="en-US"/>
        </w:rPr>
        <w:t>Differentialdiagnostiska överväganden bör inkludera:</w:t>
      </w:r>
    </w:p>
    <w:p w14:paraId="4B165241" w14:textId="77777777" w:rsidR="007D10FD" w:rsidRPr="007D10FD" w:rsidRDefault="007D10FD" w:rsidP="007D10FD">
      <w:pPr>
        <w:numPr>
          <w:ilvl w:val="0"/>
          <w:numId w:val="23"/>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celiaki, </w:t>
      </w:r>
    </w:p>
    <w:p w14:paraId="325E6CD8" w14:textId="77777777" w:rsidR="007D10FD" w:rsidRPr="007D10FD" w:rsidRDefault="007D10FD" w:rsidP="007D10FD">
      <w:pPr>
        <w:numPr>
          <w:ilvl w:val="0"/>
          <w:numId w:val="23"/>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IBD, </w:t>
      </w:r>
    </w:p>
    <w:p w14:paraId="6B825D27" w14:textId="50ECD0EF" w:rsidR="007D10FD" w:rsidRPr="007D10FD" w:rsidRDefault="007D10FD" w:rsidP="007D10FD">
      <w:pPr>
        <w:numPr>
          <w:ilvl w:val="0"/>
          <w:numId w:val="23"/>
        </w:numPr>
        <w:autoSpaceDE w:val="0"/>
        <w:autoSpaceDN w:val="0"/>
        <w:adjustRightInd w:val="0"/>
        <w:spacing w:after="0" w:line="240" w:lineRule="auto"/>
        <w:ind w:right="0"/>
        <w:contextualSpacing/>
        <w:rPr>
          <w:rFonts w:eastAsia="Calibri"/>
          <w:color w:val="000000"/>
          <w:lang w:eastAsia="en-US"/>
        </w:rPr>
      </w:pPr>
      <w:r w:rsidRPr="007D10FD">
        <w:rPr>
          <w:rFonts w:eastAsia="Calibri"/>
          <w:color w:val="000000"/>
          <w:lang w:eastAsia="en-US"/>
        </w:rPr>
        <w:t xml:space="preserve">lever‐ och pankreassjukdom, </w:t>
      </w:r>
    </w:p>
    <w:p w14:paraId="033C9456" w14:textId="77777777" w:rsidR="007D10FD" w:rsidRPr="007D10FD" w:rsidRDefault="007D10FD" w:rsidP="007D10FD">
      <w:pPr>
        <w:numPr>
          <w:ilvl w:val="0"/>
          <w:numId w:val="23"/>
        </w:numPr>
        <w:autoSpaceDE w:val="0"/>
        <w:autoSpaceDN w:val="0"/>
        <w:adjustRightInd w:val="0"/>
        <w:spacing w:after="0" w:line="240" w:lineRule="auto"/>
        <w:ind w:right="0"/>
        <w:contextualSpacing/>
        <w:rPr>
          <w:rFonts w:eastAsia="Calibri"/>
          <w:color w:val="000000"/>
          <w:lang w:val="en-US" w:eastAsia="en-US"/>
        </w:rPr>
      </w:pPr>
      <w:r w:rsidRPr="007D10FD">
        <w:rPr>
          <w:rFonts w:eastAsia="Calibri"/>
          <w:color w:val="000000"/>
          <w:lang w:val="en-US" w:eastAsia="en-US"/>
        </w:rPr>
        <w:t>CRP, Blodstatus med diff, S-Fe, S-ferritin.</w:t>
      </w:r>
    </w:p>
    <w:p w14:paraId="461361C3" w14:textId="5F7EA04E" w:rsidR="007D10FD" w:rsidRPr="007D10FD" w:rsidRDefault="007D10FD" w:rsidP="007D10FD">
      <w:pPr>
        <w:numPr>
          <w:ilvl w:val="0"/>
          <w:numId w:val="23"/>
        </w:numPr>
        <w:autoSpaceDE w:val="0"/>
        <w:autoSpaceDN w:val="0"/>
        <w:adjustRightInd w:val="0"/>
        <w:spacing w:after="0" w:line="240" w:lineRule="auto"/>
        <w:ind w:right="0"/>
        <w:contextualSpacing/>
        <w:rPr>
          <w:rFonts w:eastAsia="Calibri"/>
          <w:color w:val="000000"/>
          <w:lang w:val="en-US" w:eastAsia="en-US"/>
        </w:rPr>
      </w:pPr>
      <w:r w:rsidRPr="007D10FD">
        <w:rPr>
          <w:rFonts w:eastAsia="Calibri"/>
          <w:color w:val="000000"/>
          <w:lang w:val="en-US" w:eastAsia="en-US"/>
        </w:rPr>
        <w:t xml:space="preserve">Hp-antigen </w:t>
      </w:r>
      <w:r w:rsidR="00DD35F6">
        <w:rPr>
          <w:rFonts w:eastAsia="Calibri"/>
          <w:color w:val="000000"/>
          <w:lang w:val="en-US" w:eastAsia="en-US"/>
        </w:rPr>
        <w:t>i</w:t>
      </w:r>
      <w:r w:rsidRPr="007D10FD">
        <w:rPr>
          <w:rFonts w:eastAsia="Calibri"/>
          <w:color w:val="000000"/>
          <w:lang w:val="en-US" w:eastAsia="en-US"/>
        </w:rPr>
        <w:t xml:space="preserve"> faeces</w:t>
      </w:r>
    </w:p>
    <w:p w14:paraId="709A4A5C" w14:textId="77777777" w:rsidR="007D10FD" w:rsidRPr="007D10FD" w:rsidRDefault="007D10FD" w:rsidP="007D10FD">
      <w:pPr>
        <w:autoSpaceDE w:val="0"/>
        <w:autoSpaceDN w:val="0"/>
        <w:adjustRightInd w:val="0"/>
        <w:spacing w:after="0" w:line="240" w:lineRule="auto"/>
        <w:ind w:left="720" w:right="0"/>
        <w:contextualSpacing/>
        <w:rPr>
          <w:rFonts w:eastAsia="Calibri"/>
          <w:color w:val="000000"/>
          <w:lang w:val="en-US" w:eastAsia="en-US"/>
        </w:rPr>
      </w:pPr>
    </w:p>
    <w:p w14:paraId="6A239811" w14:textId="77777777" w:rsidR="007D10FD" w:rsidRPr="007D10FD" w:rsidRDefault="007D10FD" w:rsidP="007D10FD">
      <w:pPr>
        <w:autoSpaceDE w:val="0"/>
        <w:autoSpaceDN w:val="0"/>
        <w:adjustRightInd w:val="0"/>
        <w:spacing w:after="0" w:line="240" w:lineRule="auto"/>
        <w:ind w:left="0" w:right="0"/>
        <w:rPr>
          <w:rFonts w:eastAsia="Calibri"/>
          <w:color w:val="000000"/>
          <w:lang w:val="en-US" w:eastAsia="en-US"/>
        </w:rPr>
      </w:pPr>
    </w:p>
    <w:p w14:paraId="728DACB3" w14:textId="77777777" w:rsidR="007D10FD" w:rsidRPr="007D10FD" w:rsidRDefault="007D10FD" w:rsidP="007D10FD">
      <w:pPr>
        <w:spacing w:after="200" w:line="276" w:lineRule="auto"/>
        <w:ind w:left="0" w:right="0"/>
        <w:rPr>
          <w:rFonts w:eastAsia="Calibri"/>
          <w:lang w:eastAsia="en-US"/>
        </w:rPr>
      </w:pPr>
      <w:r w:rsidRPr="007D10FD">
        <w:rPr>
          <w:rFonts w:eastAsia="Calibri"/>
          <w:lang w:eastAsia="en-US"/>
        </w:rPr>
        <w:t>2022-11-15</w:t>
      </w:r>
    </w:p>
    <w:p w14:paraId="3B93A4BC" w14:textId="43589D1F" w:rsidR="007D10FD" w:rsidRPr="007D10FD" w:rsidRDefault="007D10FD" w:rsidP="007D10FD">
      <w:pPr>
        <w:spacing w:after="200" w:line="276" w:lineRule="auto"/>
        <w:ind w:left="0" w:right="0"/>
        <w:rPr>
          <w:rFonts w:eastAsia="Calibri"/>
          <w:lang w:eastAsia="en-US"/>
        </w:rPr>
      </w:pPr>
      <w:r w:rsidRPr="007D10FD">
        <w:rPr>
          <w:rFonts w:eastAsia="Calibri"/>
          <w:lang w:eastAsia="en-US"/>
        </w:rPr>
        <w:t>Rikard Arkel</w:t>
      </w:r>
      <w:r w:rsidRPr="007D10FD">
        <w:rPr>
          <w:rFonts w:eastAsia="Calibri"/>
          <w:lang w:eastAsia="en-US"/>
        </w:rPr>
        <w:tab/>
      </w:r>
      <w:r w:rsidR="00AE753D">
        <w:rPr>
          <w:rFonts w:eastAsia="Calibri"/>
          <w:lang w:eastAsia="en-US"/>
        </w:rPr>
        <w:t xml:space="preserve">                     </w:t>
      </w:r>
      <w:r w:rsidRPr="007D10FD">
        <w:rPr>
          <w:rFonts w:eastAsia="Calibri"/>
          <w:lang w:eastAsia="en-US"/>
        </w:rPr>
        <w:t>Tom Nicolajsen</w:t>
      </w:r>
      <w:r w:rsidRPr="007D10FD">
        <w:rPr>
          <w:rFonts w:eastAsia="Calibri"/>
          <w:lang w:eastAsia="en-US"/>
        </w:rPr>
        <w:tab/>
        <w:t>Linn Fransson</w:t>
      </w:r>
      <w:r w:rsidRPr="007D10FD">
        <w:rPr>
          <w:rFonts w:eastAsia="Calibri"/>
          <w:lang w:eastAsia="en-US"/>
        </w:rPr>
        <w:tab/>
      </w:r>
    </w:p>
    <w:p w14:paraId="2A23992A" w14:textId="77777777" w:rsidR="007D10FD" w:rsidRPr="007D10FD" w:rsidRDefault="007D10FD" w:rsidP="007D10FD">
      <w:pPr>
        <w:spacing w:after="200" w:line="276" w:lineRule="auto"/>
        <w:ind w:left="0" w:right="0"/>
        <w:rPr>
          <w:rFonts w:eastAsia="Calibri"/>
          <w:lang w:eastAsia="en-US"/>
        </w:rPr>
      </w:pPr>
      <w:r w:rsidRPr="007D10FD">
        <w:rPr>
          <w:rFonts w:eastAsia="Calibri"/>
          <w:lang w:eastAsia="en-US"/>
        </w:rPr>
        <w:t>Överläkare</w:t>
      </w:r>
      <w:r w:rsidRPr="007D10FD">
        <w:rPr>
          <w:rFonts w:eastAsia="Calibri"/>
          <w:lang w:eastAsia="en-US"/>
        </w:rPr>
        <w:tab/>
      </w:r>
      <w:r w:rsidRPr="007D10FD">
        <w:rPr>
          <w:rFonts w:eastAsia="Calibri"/>
          <w:lang w:eastAsia="en-US"/>
        </w:rPr>
        <w:tab/>
        <w:t>Överläkare</w:t>
      </w:r>
      <w:r w:rsidRPr="007D10FD">
        <w:rPr>
          <w:rFonts w:eastAsia="Calibri"/>
          <w:lang w:eastAsia="en-US"/>
        </w:rPr>
        <w:tab/>
      </w:r>
      <w:r w:rsidRPr="007D10FD">
        <w:rPr>
          <w:rFonts w:eastAsia="Calibri"/>
          <w:lang w:eastAsia="en-US"/>
        </w:rPr>
        <w:tab/>
        <w:t>Specialistläkare</w:t>
      </w:r>
    </w:p>
    <w:p w14:paraId="32B7A412" w14:textId="77777777" w:rsidR="007D10FD" w:rsidRPr="007D10FD" w:rsidRDefault="007D10FD" w:rsidP="007D10FD">
      <w:pPr>
        <w:spacing w:after="200" w:line="276" w:lineRule="auto"/>
        <w:ind w:left="0" w:right="0"/>
        <w:rPr>
          <w:rFonts w:eastAsia="Calibri"/>
          <w:lang w:eastAsia="en-US"/>
        </w:rPr>
      </w:pPr>
    </w:p>
    <w:p w14:paraId="4A1E08C6" w14:textId="77777777" w:rsidR="007D10FD" w:rsidRPr="007D10FD" w:rsidRDefault="007D10FD" w:rsidP="007D10FD">
      <w:pPr>
        <w:spacing w:after="200" w:line="276" w:lineRule="auto"/>
        <w:ind w:left="0" w:right="0"/>
        <w:rPr>
          <w:rFonts w:eastAsia="Calibri"/>
          <w:lang w:eastAsia="en-US"/>
        </w:rPr>
      </w:pPr>
      <w:r w:rsidRPr="007D10FD">
        <w:rPr>
          <w:rFonts w:eastAsia="Calibri"/>
          <w:lang w:eastAsia="en-US"/>
        </w:rPr>
        <w:t>Victor Gustafsson</w:t>
      </w:r>
    </w:p>
    <w:p w14:paraId="7D4383A5" w14:textId="77777777" w:rsidR="007D10FD" w:rsidRPr="007D10FD" w:rsidRDefault="007D10FD" w:rsidP="007D10FD">
      <w:pPr>
        <w:spacing w:after="200" w:line="276" w:lineRule="auto"/>
        <w:ind w:left="0" w:right="0"/>
        <w:rPr>
          <w:rFonts w:eastAsia="Calibri"/>
          <w:lang w:eastAsia="en-US"/>
        </w:rPr>
      </w:pPr>
      <w:r w:rsidRPr="007D10FD">
        <w:rPr>
          <w:rFonts w:eastAsia="Calibri"/>
          <w:lang w:eastAsia="en-US"/>
        </w:rPr>
        <w:t>Specialistläkare</w:t>
      </w:r>
    </w:p>
    <w:p w14:paraId="715CA08A" w14:textId="77777777" w:rsidR="00763B32" w:rsidRPr="00AE753D" w:rsidRDefault="00763B32" w:rsidP="008156BE"/>
    <w:sectPr w:rsidR="00763B32" w:rsidRPr="00AE753D" w:rsidSect="007B54A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AD055" w14:textId="77777777" w:rsidR="00BF52C7" w:rsidRDefault="00BF52C7">
      <w:r>
        <w:separator/>
      </w:r>
    </w:p>
  </w:endnote>
  <w:endnote w:type="continuationSeparator" w:id="0">
    <w:p w14:paraId="1258BA47" w14:textId="77777777" w:rsidR="00BF52C7" w:rsidRDefault="00BF52C7">
      <w:r>
        <w:continuationSeparator/>
      </w:r>
    </w:p>
  </w:endnote>
  <w:endnote w:type="continuationNotice" w:id="1">
    <w:p w14:paraId="1AF5F108" w14:textId="77777777" w:rsidR="00BF52C7" w:rsidRDefault="00BF52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23E23" w14:textId="77777777" w:rsidR="00BF52C7" w:rsidRDefault="00BF52C7"/>
  </w:footnote>
  <w:footnote w:type="continuationSeparator" w:id="0">
    <w:p w14:paraId="33D86155" w14:textId="77777777" w:rsidR="00BF52C7" w:rsidRDefault="00BF52C7">
      <w:r>
        <w:continuationSeparator/>
      </w:r>
    </w:p>
  </w:footnote>
  <w:footnote w:type="continuationNotice" w:id="1">
    <w:p w14:paraId="0EE93D2E" w14:textId="77777777" w:rsidR="00BF52C7" w:rsidRDefault="00BF52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EA5BA3"/>
    <w:multiLevelType w:val="hybridMultilevel"/>
    <w:tmpl w:val="B00C36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D41FE6"/>
    <w:multiLevelType w:val="hybridMultilevel"/>
    <w:tmpl w:val="EAC421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BC36E32"/>
    <w:multiLevelType w:val="hybridMultilevel"/>
    <w:tmpl w:val="79900D6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AC7BA0"/>
    <w:multiLevelType w:val="hybridMultilevel"/>
    <w:tmpl w:val="0DA6ED0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1"/>
  </w:num>
  <w:num w:numId="2">
    <w:abstractNumId w:val="16"/>
  </w:num>
  <w:num w:numId="3">
    <w:abstractNumId w:val="0"/>
  </w:num>
  <w:num w:numId="4">
    <w:abstractNumId w:val="8"/>
  </w:num>
  <w:num w:numId="5">
    <w:abstractNumId w:val="18"/>
  </w:num>
  <w:num w:numId="6">
    <w:abstractNumId w:val="2"/>
  </w:num>
  <w:num w:numId="7">
    <w:abstractNumId w:val="13"/>
  </w:num>
  <w:num w:numId="8">
    <w:abstractNumId w:val="10"/>
  </w:num>
  <w:num w:numId="9">
    <w:abstractNumId w:val="1"/>
  </w:num>
  <w:num w:numId="10">
    <w:abstractNumId w:val="1"/>
  </w:num>
  <w:num w:numId="11">
    <w:abstractNumId w:val="3"/>
  </w:num>
  <w:num w:numId="12">
    <w:abstractNumId w:val="5"/>
  </w:num>
  <w:num w:numId="13">
    <w:abstractNumId w:val="15"/>
  </w:num>
  <w:num w:numId="14">
    <w:abstractNumId w:val="11"/>
  </w:num>
  <w:num w:numId="15">
    <w:abstractNumId w:val="9"/>
  </w:num>
  <w:num w:numId="16">
    <w:abstractNumId w:val="14"/>
  </w:num>
  <w:num w:numId="17">
    <w:abstractNumId w:val="6"/>
  </w:num>
  <w:num w:numId="18">
    <w:abstractNumId w:val="12"/>
  </w:num>
  <w:num w:numId="19">
    <w:abstractNumId w:val="20"/>
  </w:num>
  <w:num w:numId="20">
    <w:abstractNumId w:val="7"/>
  </w:num>
  <w:num w:numId="21">
    <w:abstractNumId w:val="17"/>
  </w:num>
  <w:num w:numId="22">
    <w:abstractNumId w:val="19"/>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2B0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169B"/>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F39"/>
    <w:rsid w:val="0072075B"/>
    <w:rsid w:val="007221C2"/>
    <w:rsid w:val="00725816"/>
    <w:rsid w:val="00726007"/>
    <w:rsid w:val="00730955"/>
    <w:rsid w:val="00733A9C"/>
    <w:rsid w:val="00736574"/>
    <w:rsid w:val="007367E0"/>
    <w:rsid w:val="00737215"/>
    <w:rsid w:val="00754905"/>
    <w:rsid w:val="00760038"/>
    <w:rsid w:val="00762EE0"/>
    <w:rsid w:val="00763B32"/>
    <w:rsid w:val="00765C41"/>
    <w:rsid w:val="00771100"/>
    <w:rsid w:val="007759DD"/>
    <w:rsid w:val="0078609F"/>
    <w:rsid w:val="007917BA"/>
    <w:rsid w:val="007A5C6F"/>
    <w:rsid w:val="007B54AF"/>
    <w:rsid w:val="007D10FD"/>
    <w:rsid w:val="007D4241"/>
    <w:rsid w:val="007D4317"/>
    <w:rsid w:val="007D4EA3"/>
    <w:rsid w:val="007F1CFF"/>
    <w:rsid w:val="007F5DD5"/>
    <w:rsid w:val="008156BE"/>
    <w:rsid w:val="00821A1B"/>
    <w:rsid w:val="008262E9"/>
    <w:rsid w:val="00827E69"/>
    <w:rsid w:val="00835C4D"/>
    <w:rsid w:val="00841D74"/>
    <w:rsid w:val="00843F48"/>
    <w:rsid w:val="00851423"/>
    <w:rsid w:val="00857848"/>
    <w:rsid w:val="008647B1"/>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7FE9"/>
    <w:rsid w:val="00A006A5"/>
    <w:rsid w:val="00A05942"/>
    <w:rsid w:val="00A07BEC"/>
    <w:rsid w:val="00A264BE"/>
    <w:rsid w:val="00A272CA"/>
    <w:rsid w:val="00A33051"/>
    <w:rsid w:val="00A407AD"/>
    <w:rsid w:val="00A40923"/>
    <w:rsid w:val="00A41C05"/>
    <w:rsid w:val="00A42426"/>
    <w:rsid w:val="00A44A00"/>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53D"/>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131E"/>
    <w:rsid w:val="00BF52C7"/>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59A"/>
    <w:rsid w:val="00CC52D9"/>
    <w:rsid w:val="00CD6647"/>
    <w:rsid w:val="00CE4B73"/>
    <w:rsid w:val="00CF70BB"/>
    <w:rsid w:val="00D074DB"/>
    <w:rsid w:val="00D139CF"/>
    <w:rsid w:val="00D37E7F"/>
    <w:rsid w:val="00D47AD7"/>
    <w:rsid w:val="00D51529"/>
    <w:rsid w:val="00D85218"/>
    <w:rsid w:val="00D85C72"/>
    <w:rsid w:val="00D915B1"/>
    <w:rsid w:val="00DA299D"/>
    <w:rsid w:val="00DA65C4"/>
    <w:rsid w:val="00DD2BE0"/>
    <w:rsid w:val="00DD35F6"/>
    <w:rsid w:val="00DE4447"/>
    <w:rsid w:val="00DE5DA2"/>
    <w:rsid w:val="00DF0033"/>
    <w:rsid w:val="00E013FA"/>
    <w:rsid w:val="00E026BF"/>
    <w:rsid w:val="00E07B1B"/>
    <w:rsid w:val="00E11853"/>
    <w:rsid w:val="00E52A86"/>
    <w:rsid w:val="00E54B47"/>
    <w:rsid w:val="00E553BF"/>
    <w:rsid w:val="00E55D93"/>
    <w:rsid w:val="00E61294"/>
    <w:rsid w:val="00E7237C"/>
    <w:rsid w:val="00E73411"/>
    <w:rsid w:val="00E77C46"/>
    <w:rsid w:val="00E86CE8"/>
    <w:rsid w:val="00E90E82"/>
    <w:rsid w:val="00EA00CB"/>
    <w:rsid w:val="00EA1BAA"/>
    <w:rsid w:val="00EA3FCD"/>
    <w:rsid w:val="00EA42A0"/>
    <w:rsid w:val="00EB6714"/>
    <w:rsid w:val="00EC0A68"/>
    <w:rsid w:val="00EC5006"/>
    <w:rsid w:val="00ED49C3"/>
    <w:rsid w:val="00ED5B7F"/>
    <w:rsid w:val="00ED6CE8"/>
    <w:rsid w:val="00ED7AA6"/>
    <w:rsid w:val="00EE2A56"/>
    <w:rsid w:val="00EE3818"/>
    <w:rsid w:val="00F22264"/>
    <w:rsid w:val="00F2564D"/>
    <w:rsid w:val="00F35B05"/>
    <w:rsid w:val="00F413D9"/>
    <w:rsid w:val="00F5135F"/>
    <w:rsid w:val="00F51F78"/>
    <w:rsid w:val="00F86F47"/>
    <w:rsid w:val="00F90B64"/>
    <w:rsid w:val="00FB0194"/>
    <w:rsid w:val="00FB2F0F"/>
    <w:rsid w:val="00FB5086"/>
    <w:rsid w:val="00FB5411"/>
    <w:rsid w:val="00FB6392"/>
    <w:rsid w:val="00FB7E41"/>
    <w:rsid w:val="00FC2E43"/>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lakartidningen.se/klinik-och-vetenskap-1/artiklar-1/klinisk-oversikt/2018/03/strategin-testa-och-behandla-rekommenderas-inte-for-barn/"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2</Pages>
  <Words>365</Words>
  <Characters>1938</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Helicobacter Pylori utredningskrav</dc:title>
  <dc:subject/>
  <dc:creator>patrik.jens.johansson@vgregion.se</dc:creator>
  <keywords/>
  <lastModifiedBy>Eva Andersen</lastModifiedBy>
  <revision>22</revision>
  <lastPrinted>2016-03-31T10:56:00.0000000Z</lastPrinted>
  <dcterms:created xsi:type="dcterms:W3CDTF">2022-05-16T03:53:00.0000000Z</dcterms:created>
  <dcterms:modified xsi:type="dcterms:W3CDTF">2022-12-07T08:05:00.0000000Z</dcterms:modified>
</coreProperties>
</file>