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907DB0" w14:textId="77777777" w:rsidR="009E13DD" w:rsidRDefault="009E13DD" w:rsidP="00F35B05">
      <w:pPr>
        <w:pStyle w:val="Rubrik2"/>
        <w:sectPr w:rsidR="009E13DD" w:rsidSect="009E13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7EEDF5" w14:textId="77777777" w:rsidR="009E13DD" w:rsidRPr="009E13DD" w:rsidRDefault="009E13DD" w:rsidP="009E13DD">
      <w:pPr>
        <w:spacing w:after="0" w:line="240" w:lineRule="auto"/>
        <w:ind w:left="0" w:right="0"/>
        <w:rPr>
          <w:szCs w:val="20"/>
        </w:rPr>
      </w:pPr>
    </w:p>
    <w:p w14:paraId="147B9311" w14:textId="77777777" w:rsidR="009E13DD" w:rsidRPr="009E13DD" w:rsidRDefault="009E13DD" w:rsidP="009E13DD">
      <w:pPr>
        <w:spacing w:after="0" w:line="240" w:lineRule="auto"/>
        <w:ind w:left="0" w:right="0"/>
        <w:rPr>
          <w:szCs w:val="20"/>
        </w:rPr>
      </w:pPr>
    </w:p>
    <w:p w14:paraId="63C5BC74" w14:textId="77777777" w:rsidR="009E13DD" w:rsidRPr="009E13DD" w:rsidRDefault="009E13DD" w:rsidP="009E13D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E13DD">
        <w:rPr>
          <w:szCs w:val="20"/>
        </w:rPr>
        <w:tab/>
      </w:r>
    </w:p>
    <w:p w14:paraId="33DBA0B5" w14:textId="1EFABAB7" w:rsidR="009E13DD" w:rsidRPr="009E13DD" w:rsidRDefault="009E13DD" w:rsidP="009E13DD">
      <w:pPr>
        <w:spacing w:after="0" w:line="240" w:lineRule="auto"/>
        <w:ind w:left="0" w:right="0"/>
        <w:rPr>
          <w:szCs w:val="20"/>
        </w:rPr>
      </w:pPr>
      <w:r w:rsidRPr="009E13D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03A759" wp14:editId="6E25109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37E91C" w14:textId="77777777" w:rsidR="009E13DD" w:rsidRPr="003D37FD" w:rsidRDefault="009E13DD" w:rsidP="009E13D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11801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03A75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37E91C" w14:textId="77777777" w:rsidR="009E13DD" w:rsidRPr="003D37FD" w:rsidRDefault="009E13DD" w:rsidP="009E13D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11801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E13DD" w:rsidRPr="009E13DD" w14:paraId="22A01FDE" w14:textId="77777777" w:rsidTr="003A1FF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B10F2E" w14:textId="77777777" w:rsidR="009E13DD" w:rsidRPr="009E13DD" w:rsidRDefault="009E13DD" w:rsidP="004E209E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9E13DD">
              <w:rPr>
                <w:noProof/>
              </w:rPr>
              <w:t>CVK – relaterad infektion</w:t>
            </w:r>
          </w:p>
        </w:tc>
      </w:tr>
    </w:tbl>
    <w:bookmarkEnd w:id="0"/>
    <w:p w14:paraId="72902865" w14:textId="77777777" w:rsidR="00CA7103" w:rsidRPr="00D03E60" w:rsidRDefault="00CA7103" w:rsidP="00CA7103">
      <w:pPr>
        <w:pStyle w:val="Rubrik3"/>
        <w:ind w:left="993"/>
        <w:rPr>
          <w:rFonts w:ascii="Calibri" w:hAnsi="Calibri" w:cs="Calibri"/>
        </w:rPr>
      </w:pPr>
      <w:r w:rsidRPr="00D03E60">
        <w:t>Revidering i denna version</w:t>
      </w:r>
    </w:p>
    <w:p w14:paraId="1F6AA80C" w14:textId="7FF397C3" w:rsidR="00CA7103" w:rsidRDefault="00075C66" w:rsidP="00CA7103">
      <w:pPr>
        <w:numPr>
          <w:ilvl w:val="0"/>
          <w:numId w:val="22"/>
        </w:numPr>
        <w:spacing w:after="0" w:line="240" w:lineRule="auto"/>
        <w:ind w:left="993" w:right="0" w:firstLine="0"/>
      </w:pPr>
      <w:r>
        <w:t xml:space="preserve">Uppdaterad </w:t>
      </w:r>
      <w:r w:rsidR="00C36F25">
        <w:t>i giltighetstid</w:t>
      </w:r>
      <w:r w:rsidR="00CA7103">
        <w:t xml:space="preserve">. </w:t>
      </w:r>
    </w:p>
    <w:p w14:paraId="59BDA9DA" w14:textId="77777777" w:rsidR="00CA7103" w:rsidRDefault="00CA7103" w:rsidP="00CA7103">
      <w:pPr>
        <w:pStyle w:val="Rubrik2"/>
        <w:ind w:left="993" w:right="1161"/>
      </w:pPr>
      <w:r>
        <w:t>Bakgrund</w:t>
      </w:r>
    </w:p>
    <w:p w14:paraId="5C29F3B3" w14:textId="77777777" w:rsidR="00CA7103" w:rsidRDefault="00CA7103" w:rsidP="00DF0797">
      <w:pPr>
        <w:spacing w:after="0" w:line="240" w:lineRule="auto"/>
        <w:ind w:left="993" w:right="459"/>
      </w:pPr>
      <w:r>
        <w:t xml:space="preserve">Det är viktigt att med goda rutiner och basala hygienrutiner förebygga CVK-infektioner. </w:t>
      </w:r>
    </w:p>
    <w:p w14:paraId="5076FC42" w14:textId="77777777" w:rsidR="00CA7103" w:rsidRDefault="00CA7103" w:rsidP="00DF0797">
      <w:pPr>
        <w:spacing w:after="0" w:line="240" w:lineRule="auto"/>
        <w:ind w:left="993" w:right="459"/>
      </w:pPr>
      <w:r>
        <w:t>När de väl uppstår kan det leda till för patienten kraftigt förlängd vårdtid, men också en ökad dödlighet.</w:t>
      </w:r>
    </w:p>
    <w:p w14:paraId="7FB84ED5" w14:textId="77777777" w:rsidR="00CA7103" w:rsidRDefault="00CA7103" w:rsidP="00DF0797">
      <w:pPr>
        <w:spacing w:after="0" w:line="240" w:lineRule="auto"/>
        <w:ind w:left="993" w:right="459"/>
      </w:pPr>
      <w:r>
        <w:t xml:space="preserve">De vanligaste </w:t>
      </w:r>
      <w:proofErr w:type="spellStart"/>
      <w:r>
        <w:t>patogenerna</w:t>
      </w:r>
      <w:proofErr w:type="spellEnd"/>
      <w:r>
        <w:t xml:space="preserve"> är KNS (</w:t>
      </w:r>
      <w:proofErr w:type="spellStart"/>
      <w:r>
        <w:t>koagulasnegativa</w:t>
      </w:r>
      <w:proofErr w:type="spellEnd"/>
      <w:r>
        <w:t xml:space="preserve"> stafylokocker). De har antingen migrerat in från huden längs utsidan på katetern eller har förts in i blodbanan via ett kontaminerat </w:t>
      </w:r>
      <w:proofErr w:type="spellStart"/>
      <w:r>
        <w:t>kranblock</w:t>
      </w:r>
      <w:proofErr w:type="spellEnd"/>
      <w:r>
        <w:t xml:space="preserve"> eller en kateter. Det förekommer också CVK-relaterade infektioner orsakade av andra bakterier och svamp.</w:t>
      </w:r>
    </w:p>
    <w:p w14:paraId="5CB53FEE" w14:textId="77777777" w:rsidR="00CA7103" w:rsidRDefault="00CA7103" w:rsidP="00CA7103">
      <w:pPr>
        <w:pStyle w:val="Rubrik2"/>
        <w:ind w:left="993" w:right="1161"/>
      </w:pPr>
      <w:r>
        <w:t>Syfte</w:t>
      </w:r>
    </w:p>
    <w:p w14:paraId="306285B9" w14:textId="77777777" w:rsidR="00CA7103" w:rsidRDefault="00CA7103" w:rsidP="00CA7103">
      <w:pPr>
        <w:pStyle w:val="Underrubrik"/>
        <w:ind w:left="993" w:right="459"/>
        <w:rPr>
          <w:b w:val="0"/>
          <w:bCs w:val="0"/>
        </w:rPr>
      </w:pPr>
      <w:r>
        <w:rPr>
          <w:b w:val="0"/>
          <w:bCs w:val="0"/>
        </w:rPr>
        <w:t xml:space="preserve">Att skapa enhetliga rutiner för att diagnostisera och hantera misstänkta CVK-relaterade infektioner. </w:t>
      </w:r>
    </w:p>
    <w:p w14:paraId="707A70F0" w14:textId="77777777" w:rsidR="00CA7103" w:rsidRPr="00215538" w:rsidRDefault="00CA7103" w:rsidP="00CA7103">
      <w:pPr>
        <w:pStyle w:val="Rubrik2"/>
      </w:pPr>
      <w:r w:rsidRPr="00215538">
        <w:t>Vilka berörs</w:t>
      </w:r>
    </w:p>
    <w:p w14:paraId="244B9A6E" w14:textId="77777777" w:rsidR="00CA7103" w:rsidRPr="00215538" w:rsidRDefault="00CA7103" w:rsidP="00CA7103">
      <w:pPr>
        <w:ind w:left="993" w:right="459"/>
      </w:pPr>
      <w:r w:rsidRPr="00215538">
        <w:t>All personal i NU-sjukvården som hanterar CVK.</w:t>
      </w:r>
    </w:p>
    <w:p w14:paraId="01DBFF0D" w14:textId="77777777" w:rsidR="00CA7103" w:rsidRPr="00215538" w:rsidRDefault="00CA7103" w:rsidP="00CA7103">
      <w:pPr>
        <w:pStyle w:val="Rubrik2"/>
        <w:ind w:left="993" w:right="1161"/>
      </w:pPr>
      <w:r w:rsidRPr="00215538">
        <w:t>Diagnostik</w:t>
      </w:r>
    </w:p>
    <w:p w14:paraId="6FD44141" w14:textId="77777777" w:rsidR="00CA7103" w:rsidRDefault="00CA7103" w:rsidP="00CA7103">
      <w:pPr>
        <w:pStyle w:val="Default"/>
        <w:ind w:left="993" w:right="459"/>
      </w:pPr>
      <w:r>
        <w:t xml:space="preserve">Med CVK-relaterad infektion menas </w:t>
      </w:r>
    </w:p>
    <w:p w14:paraId="3CD848E9" w14:textId="77777777" w:rsidR="00CA7103" w:rsidRDefault="00CA7103" w:rsidP="00CA7103">
      <w:pPr>
        <w:pStyle w:val="Default"/>
        <w:numPr>
          <w:ilvl w:val="0"/>
          <w:numId w:val="20"/>
        </w:numPr>
        <w:spacing w:after="27"/>
        <w:ind w:left="1276" w:right="459" w:hanging="283"/>
      </w:pPr>
      <w:r>
        <w:t xml:space="preserve">klinisk misstanke om kateterrelaterad infektion tillsammans med positiv odling från kateterspets eller </w:t>
      </w:r>
    </w:p>
    <w:p w14:paraId="5071EB95" w14:textId="77777777" w:rsidR="00CA7103" w:rsidRDefault="00CA7103" w:rsidP="00CA7103">
      <w:pPr>
        <w:pStyle w:val="Default"/>
        <w:numPr>
          <w:ilvl w:val="0"/>
          <w:numId w:val="20"/>
        </w:numPr>
        <w:spacing w:after="27"/>
        <w:ind w:left="1276" w:right="459" w:hanging="283"/>
      </w:pPr>
      <w:r>
        <w:t xml:space="preserve">odlingar med fynd av samma bakterie i kateterblod som i perifert blod, och då tiden till växt av bakterien (så kallad omslagstid) i kateterblod är minst 120 min kortare än tiden till växt i perifert blod. </w:t>
      </w:r>
    </w:p>
    <w:p w14:paraId="3D67A445" w14:textId="77777777" w:rsidR="00CA7103" w:rsidRDefault="00CA7103" w:rsidP="007C453B">
      <w:pPr>
        <w:pStyle w:val="Default"/>
        <w:ind w:left="1276" w:right="459"/>
      </w:pPr>
      <w:r>
        <w:lastRenderedPageBreak/>
        <w:t xml:space="preserve">Om misstanke finns om CVK-relaterad infektion, ta två blododlingar, varav en från CVK och en från perifert blod. Skriv på remissen att CVK-relaterad infektion misstänks, så fås svar från </w:t>
      </w:r>
      <w:proofErr w:type="spellStart"/>
      <w:r>
        <w:t>bakt</w:t>
      </w:r>
      <w:proofErr w:type="spellEnd"/>
      <w:r>
        <w:t>-lab på omslagstiden för de två odlingarna.</w:t>
      </w:r>
    </w:p>
    <w:p w14:paraId="4C15CF8B" w14:textId="77777777" w:rsidR="00CA7103" w:rsidRDefault="00CA7103" w:rsidP="007C453B">
      <w:pPr>
        <w:pStyle w:val="Default"/>
        <w:ind w:left="1276" w:right="459"/>
      </w:pPr>
    </w:p>
    <w:p w14:paraId="7BC7F796" w14:textId="77777777" w:rsidR="00CA7103" w:rsidRDefault="00CA7103" w:rsidP="007C453B">
      <w:pPr>
        <w:spacing w:line="240" w:lineRule="auto"/>
        <w:ind w:left="1276" w:right="459"/>
      </w:pPr>
      <w:r>
        <w:t xml:space="preserve">Det är viktigt att vid minsta misstanke om CVK-relaterad infektion och vid </w:t>
      </w:r>
      <w:proofErr w:type="gramStart"/>
      <w:r>
        <w:t>temptopp &gt;</w:t>
      </w:r>
      <w:proofErr w:type="gramEnd"/>
      <w:r>
        <w:t xml:space="preserve"> 39° ta odlingar ur både perifert blod och ur CVK, </w:t>
      </w:r>
      <w:r w:rsidRPr="0070022A">
        <w:rPr>
          <w:i/>
          <w:iCs/>
        </w:rPr>
        <w:t>båda inom 10 minuter</w:t>
      </w:r>
      <w:r>
        <w:t>. Märk remiss med tid för provtagning + misstanke CVK-relaterad infektion. Får man samma odlingssvar på bägge odlingar styrker det misstanken om CVK-relaterad infektion.</w:t>
      </w:r>
    </w:p>
    <w:p w14:paraId="53FBD100" w14:textId="77777777" w:rsidR="00CA7103" w:rsidRDefault="00CA7103" w:rsidP="007C453B">
      <w:pPr>
        <w:spacing w:after="0" w:line="240" w:lineRule="auto"/>
        <w:ind w:left="1276" w:right="459"/>
      </w:pPr>
      <w:r>
        <w:t xml:space="preserve">Vid stark misstanke om infektion skall katetern dras så fort som möjligt och </w:t>
      </w:r>
      <w:proofErr w:type="spellStart"/>
      <w:r>
        <w:t>katetersspetsen</w:t>
      </w:r>
      <w:proofErr w:type="spellEnd"/>
      <w:r>
        <w:t xml:space="preserve"> skall skickas för odling. Spetsen klipps av med steril sax och läggs i sterilt urinodlingsrör. </w:t>
      </w:r>
    </w:p>
    <w:p w14:paraId="7E8DBE5E" w14:textId="77777777" w:rsidR="00CA7103" w:rsidRDefault="00CA7103" w:rsidP="007C453B">
      <w:pPr>
        <w:spacing w:after="0" w:line="240" w:lineRule="auto"/>
        <w:ind w:left="1276" w:right="459"/>
      </w:pPr>
      <w:r>
        <w:t xml:space="preserve">Innan katetern dras, kontakta gärna narkosläkare för att diskutera åtgärder. Graden av misstanke avgör hur angeläget det är att dra katetern. </w:t>
      </w:r>
    </w:p>
    <w:p w14:paraId="1ECD2665" w14:textId="77777777" w:rsidR="00CA7103" w:rsidRDefault="00CA7103" w:rsidP="007C453B">
      <w:pPr>
        <w:spacing w:after="0" w:line="240" w:lineRule="auto"/>
        <w:ind w:left="1276" w:right="459"/>
      </w:pPr>
      <w:r>
        <w:t xml:space="preserve">Vid liten misstanke om infektion kan man välja att </w:t>
      </w:r>
      <w:proofErr w:type="spellStart"/>
      <w:r>
        <w:t>antibiotikabehandla</w:t>
      </w:r>
      <w:proofErr w:type="spellEnd"/>
      <w:r>
        <w:t xml:space="preserve"> några dagar med adekvat antibiotika och avvakta odlingssvar, innan katetern eventuellt dras.</w:t>
      </w:r>
    </w:p>
    <w:p w14:paraId="3F46A91D" w14:textId="77777777" w:rsidR="00CA7103" w:rsidRDefault="00CA7103" w:rsidP="007C453B">
      <w:pPr>
        <w:pStyle w:val="Rubrik2"/>
        <w:ind w:left="1276" w:right="1161"/>
        <w:rPr>
          <w:b/>
          <w:sz w:val="28"/>
          <w:szCs w:val="24"/>
        </w:rPr>
      </w:pPr>
      <w:r w:rsidRPr="00215538">
        <w:t>Övriga åtgärder</w:t>
      </w:r>
    </w:p>
    <w:p w14:paraId="14D28EC3" w14:textId="77777777" w:rsidR="00CA7103" w:rsidRDefault="00CA7103" w:rsidP="007C453B">
      <w:pPr>
        <w:spacing w:after="0" w:line="240" w:lineRule="auto"/>
        <w:ind w:left="1276" w:right="459"/>
      </w:pPr>
      <w:r>
        <w:t>Innan antibiotika sätts in, skall adekvata odlingar vara tagna.</w:t>
      </w:r>
    </w:p>
    <w:p w14:paraId="6CBB7E6B" w14:textId="77777777" w:rsidR="00CA7103" w:rsidRDefault="00CA7103" w:rsidP="007C453B">
      <w:pPr>
        <w:pStyle w:val="Default"/>
        <w:ind w:left="1276" w:right="459"/>
      </w:pPr>
      <w:r>
        <w:t xml:space="preserve">Om möjligt bör den infekterade </w:t>
      </w:r>
      <w:proofErr w:type="spellStart"/>
      <w:r>
        <w:t>CVK:n</w:t>
      </w:r>
      <w:proofErr w:type="spellEnd"/>
      <w:r>
        <w:t xml:space="preserve"> avvecklas, och adekvat antibiotikum ges innan ny CVK sätts. Något säkert generellt tidsintervall kan inte anges, utan man får väga risker och nytta mot varandra i varje enskilt fall. Om man inte klarar sig utan CVK i ett par dygn kan man överväga att efter odling ge antibiotikabehandling, och därefter sätta ny CVK via annan del av vensystemet innan den infekterade katetern avvecklas.</w:t>
      </w:r>
    </w:p>
    <w:p w14:paraId="0D65294F" w14:textId="77777777" w:rsidR="00CA7103" w:rsidRPr="00267B79" w:rsidRDefault="00CA7103" w:rsidP="007C453B">
      <w:pPr>
        <w:pStyle w:val="Rubrik2"/>
        <w:ind w:left="1276"/>
      </w:pPr>
      <w:r w:rsidRPr="00267B79">
        <w:t>Referenser</w:t>
      </w:r>
    </w:p>
    <w:p w14:paraId="7CEE8474" w14:textId="77777777" w:rsidR="00CA7103" w:rsidRPr="001A7410" w:rsidRDefault="00CA7103" w:rsidP="007C453B">
      <w:pPr>
        <w:pStyle w:val="Default"/>
        <w:ind w:left="1276" w:right="699"/>
      </w:pPr>
      <w:r w:rsidRPr="001A7410">
        <w:t xml:space="preserve">Ref:[1-4] </w:t>
      </w:r>
    </w:p>
    <w:p w14:paraId="655C3E4A" w14:textId="77777777" w:rsidR="00CA7103" w:rsidRDefault="00CA7103" w:rsidP="007C453B">
      <w:pPr>
        <w:pStyle w:val="Default"/>
        <w:ind w:left="1276" w:right="699"/>
        <w:rPr>
          <w:lang w:val="en-GB"/>
        </w:rPr>
      </w:pPr>
      <w:r>
        <w:rPr>
          <w:lang w:val="en-GB"/>
        </w:rPr>
        <w:t xml:space="preserve">1. </w:t>
      </w:r>
      <w:hyperlink r:id="rId17" w:history="1">
        <w:r>
          <w:rPr>
            <w:rStyle w:val="Hyperlnk"/>
            <w:lang w:val="en-GB"/>
          </w:rPr>
          <w:t xml:space="preserve">Blot F, </w:t>
        </w:r>
        <w:proofErr w:type="spellStart"/>
        <w:r>
          <w:rPr>
            <w:rStyle w:val="Hyperlnk"/>
            <w:lang w:val="en-GB"/>
          </w:rPr>
          <w:t>Nitenberg</w:t>
        </w:r>
        <w:proofErr w:type="spellEnd"/>
        <w:r>
          <w:rPr>
            <w:rStyle w:val="Hyperlnk"/>
            <w:lang w:val="en-GB"/>
          </w:rPr>
          <w:t xml:space="preserve"> G, </w:t>
        </w:r>
        <w:proofErr w:type="spellStart"/>
        <w:r>
          <w:rPr>
            <w:rStyle w:val="Hyperlnk"/>
            <w:lang w:val="en-GB"/>
          </w:rPr>
          <w:t>Chachaty</w:t>
        </w:r>
        <w:proofErr w:type="spellEnd"/>
        <w:r>
          <w:rPr>
            <w:rStyle w:val="Hyperlnk"/>
            <w:lang w:val="en-GB"/>
          </w:rPr>
          <w:t xml:space="preserve"> E, Raynard B, Germann N, Antoun S, Laplanche A, Brun-Buisson C, Tancrede C: </w:t>
        </w:r>
        <w:r>
          <w:rPr>
            <w:rStyle w:val="Hyperlnk"/>
            <w:b/>
            <w:bCs/>
            <w:lang w:val="en-GB"/>
          </w:rPr>
          <w:t>Diagnosis of catheter-related bacteraemia: a prospective comparison of the time to positivity of hub-blood versus peripheral-blood cultures</w:t>
        </w:r>
        <w:r>
          <w:rPr>
            <w:rStyle w:val="Hyperlnk"/>
            <w:lang w:val="en-GB"/>
          </w:rPr>
          <w:t xml:space="preserve">. </w:t>
        </w:r>
        <w:r>
          <w:rPr>
            <w:rStyle w:val="Hyperlnk"/>
            <w:i/>
            <w:iCs/>
            <w:lang w:val="en-GB"/>
          </w:rPr>
          <w:t xml:space="preserve">Lancet </w:t>
        </w:r>
        <w:r>
          <w:rPr>
            <w:rStyle w:val="Hyperlnk"/>
            <w:lang w:val="en-GB"/>
          </w:rPr>
          <w:t xml:space="preserve">1999, </w:t>
        </w:r>
        <w:r>
          <w:rPr>
            <w:rStyle w:val="Hyperlnk"/>
            <w:b/>
            <w:bCs/>
            <w:lang w:val="en-GB"/>
          </w:rPr>
          <w:t>354</w:t>
        </w:r>
        <w:r>
          <w:rPr>
            <w:rStyle w:val="Hyperlnk"/>
            <w:lang w:val="en-GB"/>
          </w:rPr>
          <w:t>(9184):1071-1077</w:t>
        </w:r>
      </w:hyperlink>
      <w:r>
        <w:rPr>
          <w:lang w:val="en-GB"/>
        </w:rPr>
        <w:t xml:space="preserve">. </w:t>
      </w:r>
    </w:p>
    <w:p w14:paraId="1ECE894E" w14:textId="77777777" w:rsidR="00CA7103" w:rsidRDefault="00CA7103" w:rsidP="007C453B">
      <w:pPr>
        <w:pStyle w:val="Default"/>
        <w:ind w:left="1276" w:right="699"/>
        <w:rPr>
          <w:lang w:val="en-GB"/>
        </w:rPr>
      </w:pPr>
      <w:r>
        <w:rPr>
          <w:lang w:val="en-GB"/>
        </w:rPr>
        <w:t xml:space="preserve">2. </w:t>
      </w:r>
      <w:hyperlink r:id="rId18" w:history="1">
        <w:r>
          <w:rPr>
            <w:rStyle w:val="Hyperlnk"/>
            <w:lang w:val="en-GB"/>
          </w:rPr>
          <w:t xml:space="preserve">Catton JA, Dobbins BM, Kite P, Wood JM, Eastwood K, Sugden S, Sandoe JA, Burke D, McMahon MJ, Wilcox MH: </w:t>
        </w:r>
        <w:r>
          <w:rPr>
            <w:rStyle w:val="Hyperlnk"/>
            <w:b/>
            <w:bCs/>
            <w:lang w:val="en-GB"/>
          </w:rPr>
          <w:t>In situ diagnosis of intravascular catheter-related bloodstream infection: a comparison of quantitative culture, differential time to positivity, and endoluminal brushing</w:t>
        </w:r>
        <w:r>
          <w:rPr>
            <w:rStyle w:val="Hyperlnk"/>
            <w:lang w:val="en-GB"/>
          </w:rPr>
          <w:t xml:space="preserve">. </w:t>
        </w:r>
        <w:r>
          <w:rPr>
            <w:rStyle w:val="Hyperlnk"/>
            <w:i/>
            <w:iCs/>
            <w:lang w:val="en-GB"/>
          </w:rPr>
          <w:t xml:space="preserve">Crit Care Med </w:t>
        </w:r>
        <w:r>
          <w:rPr>
            <w:rStyle w:val="Hyperlnk"/>
            <w:lang w:val="en-GB"/>
          </w:rPr>
          <w:t xml:space="preserve">2005, </w:t>
        </w:r>
        <w:r>
          <w:rPr>
            <w:rStyle w:val="Hyperlnk"/>
            <w:b/>
            <w:bCs/>
            <w:lang w:val="en-GB"/>
          </w:rPr>
          <w:t>33</w:t>
        </w:r>
        <w:r>
          <w:rPr>
            <w:rStyle w:val="Hyperlnk"/>
            <w:lang w:val="en-GB"/>
          </w:rPr>
          <w:t>(4):787-791.</w:t>
        </w:r>
      </w:hyperlink>
      <w:r>
        <w:rPr>
          <w:lang w:val="en-GB"/>
        </w:rPr>
        <w:t xml:space="preserve"> </w:t>
      </w:r>
    </w:p>
    <w:p w14:paraId="747648CE" w14:textId="77777777" w:rsidR="00CA7103" w:rsidRPr="00971DCF" w:rsidRDefault="00CA7103" w:rsidP="007C453B">
      <w:pPr>
        <w:pStyle w:val="Default"/>
        <w:ind w:left="1276" w:right="699"/>
        <w:rPr>
          <w:lang w:val="en-GB"/>
        </w:rPr>
      </w:pPr>
      <w:r>
        <w:rPr>
          <w:lang w:val="en-GB"/>
        </w:rPr>
        <w:t xml:space="preserve">3. </w:t>
      </w:r>
      <w:hyperlink r:id="rId19" w:history="1">
        <w:r>
          <w:rPr>
            <w:rStyle w:val="Hyperlnk"/>
            <w:lang w:val="en-GB"/>
          </w:rPr>
          <w:t xml:space="preserve">Maki DG, Weise CE, Sarafin HW: </w:t>
        </w:r>
        <w:r>
          <w:rPr>
            <w:rStyle w:val="Hyperlnk"/>
            <w:b/>
            <w:bCs/>
            <w:lang w:val="en-GB"/>
          </w:rPr>
          <w:t>A semiquantitative culture method for identifying intravenous-catheter-related infection</w:t>
        </w:r>
        <w:r>
          <w:rPr>
            <w:rStyle w:val="Hyperlnk"/>
            <w:lang w:val="en-GB"/>
          </w:rPr>
          <w:t xml:space="preserve">. </w:t>
        </w:r>
        <w:r w:rsidRPr="00971DCF">
          <w:rPr>
            <w:rStyle w:val="Hyperlnk"/>
            <w:i/>
            <w:iCs/>
            <w:lang w:val="en-GB"/>
          </w:rPr>
          <w:t xml:space="preserve">N Engl J Med </w:t>
        </w:r>
        <w:r w:rsidRPr="00971DCF">
          <w:rPr>
            <w:rStyle w:val="Hyperlnk"/>
            <w:lang w:val="en-GB"/>
          </w:rPr>
          <w:t xml:space="preserve">1977, </w:t>
        </w:r>
        <w:r w:rsidRPr="00971DCF">
          <w:rPr>
            <w:rStyle w:val="Hyperlnk"/>
            <w:b/>
            <w:bCs/>
            <w:lang w:val="en-GB"/>
          </w:rPr>
          <w:t>296</w:t>
        </w:r>
        <w:r w:rsidRPr="00971DCF">
          <w:rPr>
            <w:rStyle w:val="Hyperlnk"/>
            <w:lang w:val="en-GB"/>
          </w:rPr>
          <w:t>(23):1305-1309</w:t>
        </w:r>
      </w:hyperlink>
      <w:r w:rsidRPr="00971DCF">
        <w:rPr>
          <w:lang w:val="en-GB"/>
        </w:rPr>
        <w:t xml:space="preserve">. </w:t>
      </w:r>
    </w:p>
    <w:p w14:paraId="78D3EE02" w14:textId="77777777" w:rsidR="00CA7103" w:rsidRDefault="00CA7103" w:rsidP="007C453B">
      <w:pPr>
        <w:ind w:left="1276" w:right="699"/>
        <w:rPr>
          <w:lang w:val="en-GB"/>
        </w:rPr>
      </w:pPr>
      <w:r>
        <w:rPr>
          <w:lang w:val="en-GB"/>
        </w:rPr>
        <w:t xml:space="preserve">4. Safdar N, Fine JP, Maki DG: </w:t>
      </w:r>
      <w:r>
        <w:rPr>
          <w:b/>
          <w:bCs/>
          <w:lang w:val="en-GB"/>
        </w:rPr>
        <w:t>Meta-analysis: methods for diagnosing intravascular device-related bloodstream infection</w:t>
      </w:r>
      <w:r>
        <w:rPr>
          <w:lang w:val="en-GB"/>
        </w:rPr>
        <w:t>.</w:t>
      </w:r>
    </w:p>
    <w:p w14:paraId="73F35E6A" w14:textId="467C47F9" w:rsidR="009E13DD" w:rsidRPr="009E13DD" w:rsidRDefault="00CA7103" w:rsidP="00B07BB0">
      <w:pPr>
        <w:ind w:left="1276"/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lang w:val="en-GB"/>
        </w:rPr>
        <w:t xml:space="preserve">5. SFAIs </w:t>
      </w:r>
      <w:proofErr w:type="spellStart"/>
      <w:r>
        <w:rPr>
          <w:lang w:val="en-GB"/>
        </w:rPr>
        <w:t>riktlinjer</w:t>
      </w:r>
      <w:proofErr w:type="spellEnd"/>
      <w:r>
        <w:rPr>
          <w:lang w:val="en-GB"/>
        </w:rPr>
        <w:t xml:space="preserve"> för central </w:t>
      </w:r>
      <w:proofErr w:type="spellStart"/>
      <w:r>
        <w:rPr>
          <w:lang w:val="en-GB"/>
        </w:rPr>
        <w:t>venketeterisering</w:t>
      </w:r>
      <w:proofErr w:type="spellEnd"/>
    </w:p>
    <w:sectPr w:rsidR="009E13DD" w:rsidRPr="009E13DD" w:rsidSect="009E13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8B792" w14:textId="77777777" w:rsidR="00E33C33" w:rsidRDefault="00E33C33">
      <w:r>
        <w:separator/>
      </w:r>
    </w:p>
  </w:endnote>
  <w:endnote w:type="continuationSeparator" w:id="0">
    <w:p w14:paraId="5757E649" w14:textId="77777777" w:rsidR="00E33C33" w:rsidRDefault="00E33C33">
      <w:r>
        <w:continuationSeparator/>
      </w:r>
    </w:p>
  </w:endnote>
  <w:endnote w:type="continuationNotice" w:id="1">
    <w:p w14:paraId="11B7031E" w14:textId="77777777" w:rsidR="00E33C33" w:rsidRDefault="00E33C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D7CFC" w14:textId="77777777" w:rsidR="00E33C33" w:rsidRDefault="00E33C33"/>
  </w:footnote>
  <w:footnote w:type="continuationSeparator" w:id="0">
    <w:p w14:paraId="0B76D49A" w14:textId="77777777" w:rsidR="00E33C33" w:rsidRDefault="00E33C33">
      <w:r>
        <w:continuationSeparator/>
      </w:r>
    </w:p>
  </w:footnote>
  <w:footnote w:type="continuationNotice" w:id="1">
    <w:p w14:paraId="2E8213E1" w14:textId="77777777" w:rsidR="00E33C33" w:rsidRDefault="00E33C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A744AD"/>
    <w:multiLevelType w:val="hybridMultilevel"/>
    <w:tmpl w:val="6A361B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9785205">
    <w:abstractNumId w:val="19"/>
  </w:num>
  <w:num w:numId="2" w16cid:durableId="46806804">
    <w:abstractNumId w:val="15"/>
  </w:num>
  <w:num w:numId="3" w16cid:durableId="1926566650">
    <w:abstractNumId w:val="0"/>
  </w:num>
  <w:num w:numId="4" w16cid:durableId="1415325003">
    <w:abstractNumId w:val="7"/>
  </w:num>
  <w:num w:numId="5" w16cid:durableId="1831477333">
    <w:abstractNumId w:val="17"/>
  </w:num>
  <w:num w:numId="6" w16cid:durableId="428083699">
    <w:abstractNumId w:val="2"/>
  </w:num>
  <w:num w:numId="7" w16cid:durableId="92286916">
    <w:abstractNumId w:val="12"/>
  </w:num>
  <w:num w:numId="8" w16cid:durableId="474227549">
    <w:abstractNumId w:val="9"/>
  </w:num>
  <w:num w:numId="9" w16cid:durableId="755514448">
    <w:abstractNumId w:val="1"/>
  </w:num>
  <w:num w:numId="10" w16cid:durableId="897016845">
    <w:abstractNumId w:val="1"/>
  </w:num>
  <w:num w:numId="11" w16cid:durableId="28192757">
    <w:abstractNumId w:val="3"/>
  </w:num>
  <w:num w:numId="12" w16cid:durableId="1550847545">
    <w:abstractNumId w:val="4"/>
  </w:num>
  <w:num w:numId="13" w16cid:durableId="909533593">
    <w:abstractNumId w:val="14"/>
  </w:num>
  <w:num w:numId="14" w16cid:durableId="570235768">
    <w:abstractNumId w:val="10"/>
  </w:num>
  <w:num w:numId="15" w16cid:durableId="21059738">
    <w:abstractNumId w:val="8"/>
  </w:num>
  <w:num w:numId="16" w16cid:durableId="101726811">
    <w:abstractNumId w:val="13"/>
  </w:num>
  <w:num w:numId="17" w16cid:durableId="1418287393">
    <w:abstractNumId w:val="5"/>
  </w:num>
  <w:num w:numId="18" w16cid:durableId="1308434068">
    <w:abstractNumId w:val="11"/>
  </w:num>
  <w:num w:numId="19" w16cid:durableId="1856263454">
    <w:abstractNumId w:val="18"/>
  </w:num>
  <w:num w:numId="20" w16cid:durableId="188882334">
    <w:abstractNumId w:val="16"/>
  </w:num>
  <w:num w:numId="21" w16cid:durableId="155073016">
    <w:abstractNumId w:val="6"/>
  </w:num>
  <w:num w:numId="22" w16cid:durableId="1409496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D4F"/>
    <w:rsid w:val="0005691C"/>
    <w:rsid w:val="00056ECB"/>
    <w:rsid w:val="00056ED5"/>
    <w:rsid w:val="000655CC"/>
    <w:rsid w:val="000700AE"/>
    <w:rsid w:val="00075C6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09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68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53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040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0B6"/>
    <w:rsid w:val="009B1F6B"/>
    <w:rsid w:val="009C0D12"/>
    <w:rsid w:val="009C192E"/>
    <w:rsid w:val="009D6819"/>
    <w:rsid w:val="009D6D1C"/>
    <w:rsid w:val="009E0CF9"/>
    <w:rsid w:val="009E13D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BB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F2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103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063"/>
    <w:rsid w:val="00D51529"/>
    <w:rsid w:val="00D85218"/>
    <w:rsid w:val="00D915B1"/>
    <w:rsid w:val="00DA299D"/>
    <w:rsid w:val="00DA65C4"/>
    <w:rsid w:val="00DB05B6"/>
    <w:rsid w:val="00DD2BE0"/>
    <w:rsid w:val="00DD7052"/>
    <w:rsid w:val="00DE4447"/>
    <w:rsid w:val="00DE5DA2"/>
    <w:rsid w:val="00DF0033"/>
    <w:rsid w:val="00DF0797"/>
    <w:rsid w:val="00E026BF"/>
    <w:rsid w:val="00E07B1B"/>
    <w:rsid w:val="00E11853"/>
    <w:rsid w:val="00E33C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link w:val="UnderrubrikChar"/>
    <w:qFormat/>
    <w:rsid w:val="00CA7103"/>
    <w:pPr>
      <w:spacing w:after="0" w:line="240" w:lineRule="auto"/>
      <w:ind w:left="0" w:right="0"/>
    </w:pPr>
    <w:rPr>
      <w:b/>
      <w:bCs/>
    </w:rPr>
  </w:style>
  <w:style w:type="character" w:customStyle="1" w:styleId="UnderrubrikChar">
    <w:name w:val="Underrubrik Char"/>
    <w:basedOn w:val="Standardstycketeckensnitt"/>
    <w:link w:val="Underrubrik"/>
    <w:rsid w:val="00CA7103"/>
    <w:rPr>
      <w:b/>
      <w:bCs/>
      <w:sz w:val="24"/>
      <w:szCs w:val="24"/>
    </w:rPr>
  </w:style>
  <w:style w:type="paragraph" w:customStyle="1" w:styleId="Default">
    <w:name w:val="Default"/>
    <w:rsid w:val="00CA710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ovidsp.uk.ovid.com/sp-2.3.1b/ovidweb.cgi?WebLinkFrameset=1&amp;S=KCLJPDIALMHFJDPAFNELPDAGABMBAA00&amp;returnUrl=http%3a%2f%2fovidsp.uk.ovid.com%2fsp-2.3.1b%2fovidweb.cgi%3f%26TOC%3dS.sh.15.17.22.45%257c15%257c50%26FORMAT%3dtoc%26FIELDS%3dTOC%26S%3dKCLJPDIAL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ciencedirect.com/science?_ob=MImg&amp;_imagekey=B6T1B-3XR7WRP-D-1&amp;_cdi=4886&amp;_user=2509603&amp;_pii=S0140673698111340&amp;_orig=browse&amp;_coverDate=09%2F25%2F1999&amp;_sk=996450815&amp;view=c&amp;wchp=dGLbVzz-zSkWb&amp;md5=652b497b2f57a2542c3028dec2c7e9d8&amp;ie=/sdarticle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content.nejm.org/cgi/content/abstract/296/23/1305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528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 – relaterad infektion</dc:title>
  <dc:subject/>
  <dc:creator>patrik.jens.johansson@vgregion.se</dc:creator>
  <keywords/>
  <lastModifiedBy>Carina Isbrand Fransson</lastModifiedBy>
  <revision>12</revision>
  <lastPrinted>2016-03-31T10:56:00.0000000Z</lastPrinted>
  <dcterms:created xsi:type="dcterms:W3CDTF">2022-05-24T04:11:00.0000000Z</dcterms:created>
  <dcterms:modified xsi:type="dcterms:W3CDTF">2025-11-10T11:54:00.0000000Z</dcterms:modified>
</coreProperties>
</file>