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E59875" w14:textId="77777777" w:rsidR="005908FC" w:rsidRDefault="005908FC" w:rsidP="00F35B05">
      <w:pPr>
        <w:pStyle w:val="Rubrik2"/>
        <w:sectPr w:rsidR="005908FC" w:rsidSect="005908F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774AE9A" w14:textId="77777777" w:rsidR="005908FC" w:rsidRPr="005908FC" w:rsidRDefault="005908FC" w:rsidP="005908FC">
      <w:pPr>
        <w:spacing w:after="0" w:line="240" w:lineRule="auto"/>
        <w:ind w:left="0" w:right="0"/>
        <w:rPr>
          <w:szCs w:val="20"/>
        </w:rPr>
      </w:pPr>
    </w:p>
    <w:p w14:paraId="725B195E" w14:textId="77777777" w:rsidR="005908FC" w:rsidRPr="005908FC" w:rsidRDefault="005908FC" w:rsidP="005908FC">
      <w:pPr>
        <w:spacing w:after="0" w:line="240" w:lineRule="auto"/>
        <w:ind w:left="0" w:right="0"/>
        <w:rPr>
          <w:szCs w:val="20"/>
        </w:rPr>
      </w:pPr>
    </w:p>
    <w:p w14:paraId="2BE919AB" w14:textId="77777777" w:rsidR="005908FC" w:rsidRPr="005908FC" w:rsidRDefault="005908FC" w:rsidP="005908FC">
      <w:pPr>
        <w:tabs>
          <w:tab w:val="left" w:pos="4590"/>
        </w:tabs>
        <w:spacing w:after="0" w:line="240" w:lineRule="auto"/>
        <w:ind w:left="0" w:right="0"/>
        <w:rPr>
          <w:szCs w:val="20"/>
        </w:rPr>
      </w:pPr>
      <w:r w:rsidRPr="005908FC">
        <w:rPr>
          <w:szCs w:val="20"/>
        </w:rPr>
        <w:tab/>
      </w:r>
    </w:p>
    <w:p w14:paraId="288A8BF7" w14:textId="4E10AA67" w:rsidR="005908FC" w:rsidRPr="005908FC" w:rsidRDefault="005908FC" w:rsidP="005908FC">
      <w:pPr>
        <w:spacing w:after="0" w:line="240" w:lineRule="auto"/>
        <w:ind w:left="0" w:right="0"/>
        <w:rPr>
          <w:szCs w:val="20"/>
        </w:rPr>
      </w:pPr>
      <w:r w:rsidRPr="005908FC">
        <w:rPr>
          <w:noProof/>
          <w:szCs w:val="20"/>
        </w:rPr>
        <mc:AlternateContent>
          <mc:Choice Requires="wps">
            <w:drawing>
              <wp:anchor distT="0" distB="0" distL="114300" distR="114300" simplePos="0" relativeHeight="251659264" behindDoc="0" locked="0" layoutInCell="1" allowOverlap="1" wp14:anchorId="7D941D05" wp14:editId="24AAF89F">
                <wp:simplePos x="0" y="0"/>
                <wp:positionH relativeFrom="column">
                  <wp:posOffset>6518275</wp:posOffset>
                </wp:positionH>
                <wp:positionV relativeFrom="paragraph">
                  <wp:posOffset>78740</wp:posOffset>
                </wp:positionV>
                <wp:extent cx="1244600" cy="222885"/>
                <wp:effectExtent l="0" t="3810" r="0" b="190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56BE83" w14:textId="77777777" w:rsidR="005908FC" w:rsidRPr="003D37FD" w:rsidRDefault="005908FC" w:rsidP="005908F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19113</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D941D05" id="_x0000_t202" coordsize="21600,21600" o:spt="202" path="m,l,21600r21600,l21600,xe">
                <v:stroke joinstyle="miter"/>
                <v:path gradientshapeok="t" o:connecttype="rect"/>
              </v:shapetype>
              <v:shape id="Text Box 2"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156BE83" w14:textId="77777777" w:rsidR="005908FC" w:rsidRPr="003D37FD" w:rsidRDefault="005908FC" w:rsidP="005908F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19113</w:t>
                      </w:r>
                      <w:r w:rsidRPr="003D37FD">
                        <w:rPr>
                          <w:rFonts w:ascii="Arial" w:hAnsi="Arial" w:cs="Arial"/>
                          <w:color w:val="FFFFFF"/>
                          <w:sz w:val="18"/>
                          <w:szCs w:val="18"/>
                        </w:rPr>
                        <w:fldChar w:fldCharType="end"/>
                      </w:r>
                    </w:p>
                  </w:txbxContent>
                </v:textbox>
              </v:shape>
            </w:pict>
          </mc:Fallback>
        </mc:AlternateContent>
      </w:r>
    </w:p>
    <w:p w14:paraId="66284A36" w14:textId="77777777" w:rsidR="005908FC" w:rsidRPr="005908FC" w:rsidRDefault="005908FC" w:rsidP="005908FC">
      <w:pPr>
        <w:tabs>
          <w:tab w:val="left" w:pos="4590"/>
        </w:tabs>
        <w:spacing w:after="0" w:line="240" w:lineRule="auto"/>
        <w:ind w:left="0" w:right="0"/>
        <w:rPr>
          <w:szCs w:val="20"/>
        </w:rPr>
      </w:pPr>
      <w:bookmarkStart w:id="1" w:name="_1314629194"/>
      <w:bookmarkStart w:id="2" w:name="Rubrik"/>
      <w:bookmarkEnd w:id="1"/>
      <w:bookmarkEnd w:id="2"/>
      <w:r w:rsidRPr="005908FC">
        <w:rPr>
          <w:szCs w:val="20"/>
        </w:rPr>
        <w:tab/>
      </w:r>
    </w:p>
    <w:p w14:paraId="32B3DE66" w14:textId="72702913" w:rsidR="005908FC" w:rsidRPr="005908FC" w:rsidRDefault="005908FC" w:rsidP="005908FC">
      <w:pPr>
        <w:spacing w:after="0" w:line="240" w:lineRule="auto"/>
        <w:ind w:left="0" w:right="0"/>
        <w:rPr>
          <w:szCs w:val="20"/>
        </w:rPr>
      </w:pPr>
      <w:r w:rsidRPr="005908FC">
        <w:rPr>
          <w:noProof/>
          <w:szCs w:val="20"/>
        </w:rPr>
        <mc:AlternateContent>
          <mc:Choice Requires="wps">
            <w:drawing>
              <wp:anchor distT="0" distB="0" distL="114300" distR="114300" simplePos="0" relativeHeight="251660288" behindDoc="0" locked="0" layoutInCell="1" allowOverlap="1" wp14:anchorId="362A56F5" wp14:editId="55B7421D">
                <wp:simplePos x="0" y="0"/>
                <wp:positionH relativeFrom="column">
                  <wp:posOffset>6518275</wp:posOffset>
                </wp:positionH>
                <wp:positionV relativeFrom="paragraph">
                  <wp:posOffset>78740</wp:posOffset>
                </wp:positionV>
                <wp:extent cx="1244600" cy="222885"/>
                <wp:effectExtent l="0" t="1905" r="0" b="381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E4404E" w14:textId="77777777" w:rsidR="005908FC" w:rsidRPr="003D37FD" w:rsidRDefault="005908FC" w:rsidP="005908F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19113</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362A56F5" id="Text Box 1" o:spid="_x0000_s1027" type="#_x0000_t202" style="position:absolute;margin-left:513.25pt;margin-top:6.2pt;width:98pt;height:17.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81m4AEAAKgDAAAOAAAAZHJzL2Uyb0RvYy54bWysU9Fu0zAUfUfiHyy/07RRNkrUdBqbipAG&#10;Qxp8gOM4iUXia67dJuXruXbSrrC3iRfL9nXOPefck83N2HfsoNBpMAVfLZacKSOh0qYp+I/vu3dr&#10;zpwXphIdGFXwo3L8Zvv2zWawuUqhha5SyAjEuHywBW+9t3mSONmqXrgFWGWoWAP2wtMRm6RCMRB6&#10;3yXpcnmdDICVRZDKObq9n4p8G/HrWkn/WNdOedYVnLj5uGJcy7Am243IGxS21XKmIV7BohfaUNMz&#10;1L3wgu1Rv4DqtURwUPuFhD6ButZSRQ2kZrX8R81TK6yKWsgcZ882uf8HK78enuw3ZH78CCMNMIpw&#10;9gHkT8cM3LXCNOoWEYZWiYoar4JlyWBdPn8arHa5CyDl8AUqGrLYe4hAY419cIV0MkKnARzPpqvR&#10;Mxlapll2vaSSpFqapuv1VWwh8tPXFp3/pKBnYVNwpKFGdHF4cD6wEfnpSWhmYKe7Lg62M39d0MNw&#10;E9kHwhN1P5Yj09UsLYgpoTqSHIQpLhRv2rSAvzkbKCoFd7/2AhVn3WdDlnxYZVnIVjxkV+9TOuBl&#10;pbysCCMJquCes2l756c87i3qpqVOpyHcko07HRU+s5rpUxyi8Dm6IW+X5/jq+Qfb/gEAAP//AwBQ&#10;SwMEFAAGAAgAAAAhAL673/PeAAAACwEAAA8AAABkcnMvZG93bnJldi54bWxMj0tPwzAQhO9I/Adr&#10;kbhRG6sPFOJUFWrLESgRZzdekoj4IdtNw79ne6K3nd3R7DflerIDGzGm3jsFjzMBDF3jTe9aBfXn&#10;7uEJWMraGT14hwp+McG6ur0pdWH82X3geMgtoxCXCq2gyzkUnKemQ6vTzAd0dPv20epMMrbcRH2m&#10;cDtwKcSSW907+tDpgC8dNj+Hk1UQctivXuPb+2a7G0X9ta9l326Vur+bNs/AMk753wwXfEKHipiO&#10;/uRMYgNpIZcL8tIk58AuDiklbY4K5qsF8Krk1x2qPwAAAP//AwBQSwECLQAUAAYACAAAACEAtoM4&#10;kv4AAADhAQAAEwAAAAAAAAAAAAAAAAAAAAAAW0NvbnRlbnRfVHlwZXNdLnhtbFBLAQItABQABgAI&#10;AAAAIQA4/SH/1gAAAJQBAAALAAAAAAAAAAAAAAAAAC8BAABfcmVscy8ucmVsc1BLAQItABQABgAI&#10;AAAAIQDE581m4AEAAKgDAAAOAAAAAAAAAAAAAAAAAC4CAABkcnMvZTJvRG9jLnhtbFBLAQItABQA&#10;BgAIAAAAIQC+u9/z3gAAAAsBAAAPAAAAAAAAAAAAAAAAADoEAABkcnMvZG93bnJldi54bWxQSwUG&#10;AAAAAAQABADzAAAARQUAAAAA&#10;" filled="f" stroked="f">
                <v:textbox style="mso-fit-shape-to-text:t">
                  <w:txbxContent>
                    <w:p w14:paraId="2CE4404E" w14:textId="77777777" w:rsidR="005908FC" w:rsidRPr="003D37FD" w:rsidRDefault="005908FC" w:rsidP="005908F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19113</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5908FC" w:rsidRPr="005908FC" w14:paraId="599658C6" w14:textId="77777777" w:rsidTr="00A127EB">
        <w:trPr>
          <w:cantSplit/>
          <w:trHeight w:val="570"/>
        </w:trPr>
        <w:tc>
          <w:tcPr>
            <w:tcW w:w="9039" w:type="dxa"/>
            <w:tcBorders>
              <w:bottom w:val="single" w:sz="8" w:space="0" w:color="auto"/>
            </w:tcBorders>
            <w:tcMar>
              <w:left w:w="0" w:type="dxa"/>
              <w:right w:w="0" w:type="dxa"/>
            </w:tcMar>
            <w:vAlign w:val="bottom"/>
          </w:tcPr>
          <w:p w14:paraId="3967AE4B" w14:textId="77777777" w:rsidR="005908FC" w:rsidRPr="001B6219" w:rsidRDefault="005908FC" w:rsidP="00663CDB">
            <w:pPr>
              <w:pStyle w:val="Rubrik1"/>
              <w:rPr>
                <w:rFonts w:ascii="Verdana" w:hAnsi="Verdana" w:cs="Arial"/>
                <w:b/>
                <w:noProof/>
                <w:sz w:val="44"/>
                <w:szCs w:val="44"/>
              </w:rPr>
            </w:pPr>
            <w:r w:rsidRPr="001B6219">
              <w:rPr>
                <w:rFonts w:ascii="Verdana" w:hAnsi="Verdana" w:cs="Arial"/>
                <w:b/>
                <w:noProof/>
                <w:sz w:val="44"/>
                <w:szCs w:val="44"/>
              </w:rPr>
              <w:t xml:space="preserve">PICC-line </w:t>
            </w:r>
            <w:r w:rsidRPr="001B6219">
              <w:rPr>
                <w:rFonts w:ascii="Verdana" w:hAnsi="Verdana"/>
                <w:noProof/>
                <w:sz w:val="44"/>
                <w:szCs w:val="44"/>
              </w:rPr>
              <w:t>(Perifert inlagd central venkateter)</w:t>
            </w:r>
          </w:p>
        </w:tc>
      </w:tr>
    </w:tbl>
    <w:bookmarkEnd w:id="0"/>
    <w:p w14:paraId="52AC86CD" w14:textId="77777777" w:rsidR="002E4B45" w:rsidRPr="001B6219" w:rsidRDefault="002E4B45" w:rsidP="002E4B45">
      <w:pPr>
        <w:pStyle w:val="Rubrik3"/>
        <w:ind w:left="851" w:right="565"/>
        <w:rPr>
          <w:rFonts w:ascii="Verdana" w:hAnsi="Verdana" w:cs="Calibri"/>
        </w:rPr>
      </w:pPr>
      <w:r w:rsidRPr="001B6219">
        <w:rPr>
          <w:rFonts w:ascii="Verdana" w:hAnsi="Verdana"/>
        </w:rPr>
        <w:t>Revidering i denna version</w:t>
      </w:r>
      <w:r w:rsidRPr="001B6219">
        <w:rPr>
          <w:rFonts w:ascii="Verdana" w:hAnsi="Verdana" w:cs="Calibri"/>
        </w:rPr>
        <w:t xml:space="preserve"> </w:t>
      </w:r>
    </w:p>
    <w:p w14:paraId="3FBC4D20" w14:textId="77777777" w:rsidR="002E4B45" w:rsidRPr="001B6219" w:rsidRDefault="002E4B45" w:rsidP="002E4B45">
      <w:pPr>
        <w:ind w:left="851" w:right="565"/>
        <w:rPr>
          <w:rFonts w:ascii="Georgia" w:hAnsi="Georgia"/>
        </w:rPr>
      </w:pPr>
      <w:r w:rsidRPr="001B6219">
        <w:rPr>
          <w:rFonts w:ascii="Georgia" w:hAnsi="Georgia"/>
        </w:rPr>
        <w:t xml:space="preserve">Mindre ändringar.  </w:t>
      </w:r>
    </w:p>
    <w:p w14:paraId="35E7989F" w14:textId="77777777" w:rsidR="002E4B45" w:rsidRPr="001B6219" w:rsidRDefault="002E4B45" w:rsidP="002E4B45">
      <w:pPr>
        <w:pStyle w:val="Rubrik2"/>
        <w:ind w:left="851" w:right="565"/>
        <w:rPr>
          <w:rFonts w:ascii="Verdana" w:hAnsi="Verdana"/>
          <w:sz w:val="36"/>
          <w:szCs w:val="36"/>
        </w:rPr>
      </w:pPr>
      <w:r w:rsidRPr="001B6219">
        <w:rPr>
          <w:rFonts w:ascii="Verdana" w:hAnsi="Verdana"/>
          <w:sz w:val="36"/>
          <w:szCs w:val="36"/>
        </w:rPr>
        <w:t>Bakgrund</w:t>
      </w:r>
    </w:p>
    <w:p w14:paraId="10D6D6FE" w14:textId="77777777" w:rsidR="002E4B45" w:rsidRPr="001B6219" w:rsidRDefault="002E4B45" w:rsidP="001B6219">
      <w:pPr>
        <w:tabs>
          <w:tab w:val="left" w:pos="2127"/>
          <w:tab w:val="left" w:pos="2552"/>
        </w:tabs>
        <w:autoSpaceDE w:val="0"/>
        <w:autoSpaceDN w:val="0"/>
        <w:adjustRightInd w:val="0"/>
        <w:spacing w:after="0" w:line="360" w:lineRule="auto"/>
        <w:ind w:left="851" w:right="565"/>
        <w:rPr>
          <w:rFonts w:ascii="Georgia" w:hAnsi="Georgia"/>
        </w:rPr>
      </w:pPr>
      <w:r w:rsidRPr="001B6219">
        <w:rPr>
          <w:rFonts w:ascii="Georgia" w:hAnsi="Georgia"/>
        </w:rPr>
        <w:t>PICC-line är en central infart och ett alternativ till CVK. Den väljs företrädelsevis vid förväntat medellångt (&gt; 1 månad) -långt behov av central infart då den rätt skött kan ligga i kärlet i upp till ett år.</w:t>
      </w:r>
    </w:p>
    <w:p w14:paraId="1D028FD7" w14:textId="77777777" w:rsidR="002E4B45" w:rsidRPr="001B6219" w:rsidRDefault="002E4B45" w:rsidP="002E4B45">
      <w:pPr>
        <w:pStyle w:val="Rubrik2"/>
        <w:ind w:left="851" w:right="565"/>
        <w:rPr>
          <w:rFonts w:ascii="Verdana" w:hAnsi="Verdana"/>
          <w:sz w:val="36"/>
          <w:szCs w:val="36"/>
        </w:rPr>
      </w:pPr>
      <w:r w:rsidRPr="001B6219">
        <w:rPr>
          <w:rFonts w:ascii="Verdana" w:hAnsi="Verdana"/>
          <w:sz w:val="36"/>
          <w:szCs w:val="36"/>
        </w:rPr>
        <w:t>Syfte</w:t>
      </w:r>
    </w:p>
    <w:p w14:paraId="0654DC1D" w14:textId="77777777" w:rsidR="002E4B45" w:rsidRPr="001B6219" w:rsidRDefault="002E4B45" w:rsidP="001B6219">
      <w:pPr>
        <w:spacing w:after="0" w:line="360" w:lineRule="auto"/>
        <w:ind w:left="851" w:right="565"/>
        <w:rPr>
          <w:rFonts w:ascii="Georgia" w:hAnsi="Georgia"/>
        </w:rPr>
      </w:pPr>
      <w:r w:rsidRPr="001B6219">
        <w:rPr>
          <w:rFonts w:ascii="Georgia" w:hAnsi="Georgia"/>
        </w:rPr>
        <w:t>Att besvara de vanligaste frågorna som kommer upp vad gäller skötsel, hantering och handläggning av komplikationer som kan uppkomma vid användning av PICC-line.</w:t>
      </w:r>
    </w:p>
    <w:p w14:paraId="008CF013" w14:textId="77777777" w:rsidR="002E4B45" w:rsidRPr="001B6219" w:rsidRDefault="002E4B45" w:rsidP="002E4B45">
      <w:pPr>
        <w:pStyle w:val="Rubrik2"/>
        <w:ind w:left="851" w:right="565"/>
        <w:rPr>
          <w:rFonts w:ascii="Verdana" w:hAnsi="Verdana"/>
          <w:sz w:val="36"/>
          <w:szCs w:val="36"/>
        </w:rPr>
      </w:pPr>
      <w:r w:rsidRPr="001B6219">
        <w:rPr>
          <w:rFonts w:ascii="Verdana" w:hAnsi="Verdana"/>
          <w:sz w:val="36"/>
          <w:szCs w:val="36"/>
        </w:rPr>
        <w:t>Vilka berörs</w:t>
      </w:r>
    </w:p>
    <w:p w14:paraId="39E2AA79" w14:textId="77777777" w:rsidR="002E4B45" w:rsidRPr="001B6219" w:rsidRDefault="002E4B45" w:rsidP="001B6219">
      <w:pPr>
        <w:spacing w:after="0" w:line="360" w:lineRule="auto"/>
        <w:ind w:left="851" w:right="565"/>
        <w:rPr>
          <w:rFonts w:ascii="Georgia" w:hAnsi="Georgia"/>
        </w:rPr>
      </w:pPr>
      <w:r w:rsidRPr="001B6219">
        <w:rPr>
          <w:rFonts w:ascii="Georgia" w:hAnsi="Georgia"/>
        </w:rPr>
        <w:t>Läkare och sjuksköterskor som kommer i kontakt med och förväntas hantera skötsel av redan inlagd PICC-line.</w:t>
      </w:r>
    </w:p>
    <w:p w14:paraId="47B2A5D2" w14:textId="77777777" w:rsidR="002E4B45" w:rsidRPr="001B6219" w:rsidRDefault="002E4B45" w:rsidP="002E4B45">
      <w:pPr>
        <w:pStyle w:val="Rubrik2"/>
        <w:ind w:left="851" w:right="565"/>
        <w:rPr>
          <w:rFonts w:ascii="Verdana" w:hAnsi="Verdana"/>
          <w:sz w:val="32"/>
          <w:szCs w:val="32"/>
        </w:rPr>
      </w:pPr>
      <w:r w:rsidRPr="001B6219">
        <w:rPr>
          <w:rFonts w:ascii="Verdana" w:hAnsi="Verdana"/>
          <w:sz w:val="32"/>
          <w:szCs w:val="32"/>
        </w:rPr>
        <w:t>Inläggning</w:t>
      </w:r>
    </w:p>
    <w:p w14:paraId="2B9041A2" w14:textId="77777777" w:rsidR="002E4B45" w:rsidRPr="001B6219" w:rsidRDefault="002E4B45" w:rsidP="001B6219">
      <w:pPr>
        <w:spacing w:after="0" w:line="360" w:lineRule="auto"/>
        <w:ind w:left="851" w:right="565"/>
        <w:rPr>
          <w:rFonts w:ascii="Georgia" w:hAnsi="Georgia" w:cs="Arial"/>
          <w:b/>
          <w:sz w:val="26"/>
          <w:szCs w:val="26"/>
        </w:rPr>
      </w:pPr>
      <w:r w:rsidRPr="001B6219">
        <w:rPr>
          <w:rFonts w:ascii="Georgia" w:hAnsi="Georgia"/>
        </w:rPr>
        <w:t xml:space="preserve">Katetern läggs in av läkare eller specialutbildade sjuksköterskor som med hjälp av ultraljud placerar katetern i något av överarmens kärl. </w:t>
      </w:r>
      <w:r w:rsidRPr="001B6219">
        <w:rPr>
          <w:rFonts w:ascii="Georgia" w:hAnsi="Georgia"/>
        </w:rPr>
        <w:lastRenderedPageBreak/>
        <w:t>Katetern förs in så att spetsen placeras centralt, idealt i nedre tredjedelen av vena cava superior. Katetern kontrollröntgas vid behov, för kontroll av spetsläge.</w:t>
      </w:r>
    </w:p>
    <w:p w14:paraId="58329D3F" w14:textId="77777777" w:rsidR="002E4B45" w:rsidRPr="001B6219" w:rsidRDefault="002E4B45" w:rsidP="001B6219">
      <w:pPr>
        <w:pStyle w:val="Rubrik3"/>
        <w:spacing w:before="0" w:line="360" w:lineRule="auto"/>
        <w:ind w:left="851"/>
        <w:rPr>
          <w:rFonts w:ascii="Georgia" w:hAnsi="Georgia"/>
          <w:sz w:val="24"/>
        </w:rPr>
      </w:pPr>
      <w:r w:rsidRPr="001B6219">
        <w:rPr>
          <w:rFonts w:ascii="Verdana" w:hAnsi="Verdana"/>
          <w:sz w:val="32"/>
          <w:szCs w:val="32"/>
        </w:rPr>
        <w:t>Katetern</w:t>
      </w:r>
      <w:r w:rsidRPr="001B6219">
        <w:rPr>
          <w:rFonts w:ascii="Verdana" w:hAnsi="Verdana"/>
          <w:sz w:val="32"/>
          <w:szCs w:val="32"/>
        </w:rPr>
        <w:br/>
      </w:r>
      <w:r w:rsidRPr="001B6219">
        <w:rPr>
          <w:rFonts w:ascii="Georgia" w:hAnsi="Georgia" w:cs="Times New Roman"/>
          <w:sz w:val="24"/>
        </w:rPr>
        <w:t>Katetern som används i NU-sjukvården är av polyuretan och har en ventil distalt (Power PICC Solo) som är stängd då den inte används. Ventilen öppnas vid aspiration eller vid administration av vätska men är annars stängd för utflöde av blod eller inflöde av luft.</w:t>
      </w:r>
    </w:p>
    <w:p w14:paraId="28C758F9" w14:textId="77777777" w:rsidR="002E4B45" w:rsidRPr="001B6219" w:rsidRDefault="002E4B45" w:rsidP="001B6219">
      <w:pPr>
        <w:pStyle w:val="Rubrik3"/>
        <w:spacing w:before="0" w:line="360" w:lineRule="auto"/>
        <w:ind w:left="851"/>
        <w:rPr>
          <w:rFonts w:ascii="Georgia" w:hAnsi="Georgia"/>
          <w:sz w:val="22"/>
          <w:szCs w:val="22"/>
        </w:rPr>
      </w:pPr>
      <w:r w:rsidRPr="001B6219">
        <w:rPr>
          <w:rFonts w:ascii="Verdana" w:hAnsi="Verdana"/>
          <w:sz w:val="32"/>
          <w:szCs w:val="32"/>
        </w:rPr>
        <w:t>Användning</w:t>
      </w:r>
      <w:r w:rsidRPr="001B6219">
        <w:rPr>
          <w:rFonts w:ascii="Verdana" w:hAnsi="Verdana"/>
          <w:sz w:val="32"/>
          <w:szCs w:val="32"/>
        </w:rPr>
        <w:br/>
      </w:r>
      <w:r w:rsidRPr="001B6219">
        <w:rPr>
          <w:rFonts w:ascii="Georgia" w:hAnsi="Georgia" w:cs="Times New Roman"/>
          <w:sz w:val="24"/>
        </w:rPr>
        <w:t>En PICC kan användas till administrering av alla typer av läkemedel, inklusive cytostatika, blodprodukter, TPN samt för blodprovstagning. Fungerar även vid högtrycksinjektioner med motorspruta på upp till 5 ml/s vid 300 psi (ex på röntgen).</w:t>
      </w:r>
    </w:p>
    <w:p w14:paraId="02AD0F32" w14:textId="77777777" w:rsidR="002E4B45" w:rsidRPr="001B6219" w:rsidRDefault="002E4B45" w:rsidP="002E4B45">
      <w:pPr>
        <w:pStyle w:val="Rubrik2"/>
        <w:ind w:left="851"/>
        <w:rPr>
          <w:rFonts w:ascii="Verdana" w:hAnsi="Verdana"/>
          <w:sz w:val="32"/>
          <w:szCs w:val="32"/>
        </w:rPr>
      </w:pPr>
      <w:r w:rsidRPr="001B6219">
        <w:rPr>
          <w:rFonts w:ascii="Verdana" w:hAnsi="Verdana"/>
          <w:sz w:val="32"/>
          <w:szCs w:val="32"/>
        </w:rPr>
        <w:t>Synpunkter att ta i beaktande när man väljer CVK eller PICC-line</w:t>
      </w:r>
    </w:p>
    <w:p w14:paraId="442C9042" w14:textId="77777777" w:rsidR="002E4B45" w:rsidRPr="001B6219" w:rsidRDefault="002E4B45" w:rsidP="001B6219">
      <w:pPr>
        <w:spacing w:after="0" w:line="360" w:lineRule="auto"/>
        <w:ind w:left="851" w:right="565"/>
        <w:rPr>
          <w:rFonts w:ascii="Georgia" w:hAnsi="Georgia"/>
        </w:rPr>
      </w:pPr>
      <w:r w:rsidRPr="001B6219">
        <w:rPr>
          <w:rFonts w:ascii="Georgia" w:hAnsi="Georgia"/>
        </w:rPr>
        <w:t xml:space="preserve">Inläggning är relativt enkel för patienten (mindre ingrepp). Katetern läggs in av specialutbildad sjuksköterska eller narkosläkare. Det är minimal risk för allvarliga inläggningskomplikationer; pneumothorax förekommer inte. Inget behov av heparinisering. Kräver, liksom CVK, omläggning varje vecka. </w:t>
      </w:r>
    </w:p>
    <w:p w14:paraId="7CA71C6D" w14:textId="77777777" w:rsidR="002E4B45" w:rsidRPr="001B6219" w:rsidRDefault="002E4B45" w:rsidP="001B6219">
      <w:pPr>
        <w:spacing w:after="100" w:afterAutospacing="1" w:line="360" w:lineRule="auto"/>
        <w:ind w:left="851" w:right="565"/>
        <w:rPr>
          <w:rFonts w:ascii="Georgia" w:hAnsi="Georgia"/>
        </w:rPr>
      </w:pPr>
      <w:r w:rsidRPr="001B6219">
        <w:rPr>
          <w:rFonts w:ascii="Georgia" w:hAnsi="Georgia"/>
        </w:rPr>
        <w:t xml:space="preserve">PICC-line kan vara att föredra vid medel- till långvarigt behov av intravenös behandling (1 månad upp till ca 1 år), till exempel adjuvanta och palliativa situationer eller vid tillstånd som inte tillåter central access via vena subclavia eller vena jugularis </w:t>
      </w:r>
    </w:p>
    <w:p w14:paraId="31FA7A62" w14:textId="77777777" w:rsidR="002E4B45" w:rsidRPr="001B6219" w:rsidRDefault="002E4B45" w:rsidP="001B6219">
      <w:pPr>
        <w:spacing w:after="240" w:line="360" w:lineRule="auto"/>
        <w:ind w:left="851" w:right="565"/>
        <w:rPr>
          <w:rFonts w:ascii="Georgia" w:hAnsi="Georgia"/>
        </w:rPr>
      </w:pPr>
      <w:r w:rsidRPr="001B6219">
        <w:rPr>
          <w:rFonts w:ascii="Georgia" w:hAnsi="Georgia"/>
        </w:rPr>
        <w:t>PICC-line skall inte läggas in vid sår, infektion, eksem eller trombos i armen, om patienten vill simma eller styrketräna under behandlingsperioden, om patienten har känd njursjukdom som riskerar att komma att behöva dialysfistel.</w:t>
      </w:r>
    </w:p>
    <w:p w14:paraId="7135D3F2" w14:textId="77777777" w:rsidR="002E4B45" w:rsidRPr="001B6219" w:rsidRDefault="002E4B45" w:rsidP="002E4B45">
      <w:pPr>
        <w:pStyle w:val="Rubrik3"/>
        <w:ind w:left="851"/>
        <w:rPr>
          <w:rFonts w:ascii="Verdana" w:hAnsi="Verdana"/>
          <w:sz w:val="32"/>
          <w:szCs w:val="32"/>
        </w:rPr>
      </w:pPr>
      <w:bookmarkStart w:id="3" w:name="_Toc297294241"/>
      <w:r w:rsidRPr="001B6219">
        <w:rPr>
          <w:rFonts w:ascii="Verdana" w:hAnsi="Verdana"/>
          <w:sz w:val="32"/>
          <w:szCs w:val="32"/>
        </w:rPr>
        <w:t>Inför inläggning</w:t>
      </w:r>
    </w:p>
    <w:p w14:paraId="3910DCA8" w14:textId="77777777" w:rsidR="002E4B45" w:rsidRPr="001B6219" w:rsidRDefault="002E4B45" w:rsidP="001B6219">
      <w:pPr>
        <w:spacing w:after="0" w:line="360" w:lineRule="auto"/>
        <w:ind w:left="851" w:right="565"/>
        <w:rPr>
          <w:rFonts w:ascii="Georgia" w:hAnsi="Georgia"/>
        </w:rPr>
      </w:pPr>
      <w:r w:rsidRPr="001B6219">
        <w:rPr>
          <w:rFonts w:ascii="Georgia" w:hAnsi="Georgia"/>
        </w:rPr>
        <w:t>Vid behov av kärlaccess som man själv inte löser på avd/ mottagning, skickas alltid  ”Remiss Kärlaccess” (finns under korr/intyg i Melior). Om det från remittenten är bedömt att patienten har behov av PICC-</w:t>
      </w:r>
      <w:r w:rsidRPr="001B6219">
        <w:rPr>
          <w:rFonts w:ascii="Georgia" w:hAnsi="Georgia"/>
        </w:rPr>
        <w:lastRenderedPageBreak/>
        <w:t xml:space="preserve">line, kan detta gärna skrivas på remissen. Är man osäker på vilken typ av kärlaccess som patienten är i behov av beskriver man bara behovets art. SOL på op kommer att ta ställning till och besluta om vilken typ av infart som läggs beroende på patientens förutsättningar och behov. </w:t>
      </w:r>
    </w:p>
    <w:p w14:paraId="56EDE8AE" w14:textId="77777777" w:rsidR="002E4B45" w:rsidRPr="001B6219" w:rsidRDefault="002E4B45" w:rsidP="001B6219">
      <w:pPr>
        <w:spacing w:after="0" w:line="360" w:lineRule="auto"/>
        <w:ind w:left="851" w:right="565"/>
        <w:rPr>
          <w:rFonts w:ascii="Georgia" w:hAnsi="Georgia"/>
        </w:rPr>
      </w:pPr>
      <w:r w:rsidRPr="001B6219">
        <w:rPr>
          <w:rFonts w:ascii="Georgia" w:hAnsi="Georgia"/>
        </w:rPr>
        <w:t>Remissen faxas till op NÄL/ UVA Uddevalla enligt instruktionerna på remissen.</w:t>
      </w:r>
    </w:p>
    <w:bookmarkEnd w:id="3"/>
    <w:p w14:paraId="00043847" w14:textId="77777777" w:rsidR="002E4B45" w:rsidRPr="001B6219" w:rsidRDefault="002E4B45" w:rsidP="002E4B45">
      <w:pPr>
        <w:pStyle w:val="Rubrik2"/>
        <w:ind w:left="851"/>
        <w:rPr>
          <w:rFonts w:ascii="Verdana" w:hAnsi="Verdana"/>
          <w:sz w:val="32"/>
          <w:szCs w:val="32"/>
        </w:rPr>
      </w:pPr>
      <w:r w:rsidRPr="001B6219">
        <w:rPr>
          <w:rFonts w:ascii="Verdana" w:hAnsi="Verdana"/>
          <w:sz w:val="32"/>
          <w:szCs w:val="32"/>
        </w:rPr>
        <w:t>Rutiner efter inläggning</w:t>
      </w:r>
    </w:p>
    <w:p w14:paraId="3CEF9FD6" w14:textId="77777777" w:rsidR="002E4B45" w:rsidRPr="001B6219" w:rsidRDefault="002E4B45" w:rsidP="001B6219">
      <w:pPr>
        <w:spacing w:after="0" w:line="360" w:lineRule="auto"/>
        <w:ind w:left="851" w:right="565"/>
        <w:rPr>
          <w:rFonts w:ascii="Georgia" w:hAnsi="Georgia"/>
        </w:rPr>
      </w:pPr>
      <w:r w:rsidRPr="001B6219">
        <w:rPr>
          <w:rFonts w:ascii="Georgia" w:hAnsi="Georgia"/>
        </w:rPr>
        <w:t>Ingreppet dokumenteras i Melior och registreras av ansvarig inläggare i operations PICC-line register. Om röntgenkontroll av kateterläge planeras, skall detta göras och läget godkännas innan katetern får användas.</w:t>
      </w:r>
    </w:p>
    <w:p w14:paraId="4FD39661" w14:textId="77777777" w:rsidR="002E4B45" w:rsidRPr="001B6219" w:rsidRDefault="002E4B45" w:rsidP="001B6219">
      <w:pPr>
        <w:spacing w:after="0" w:line="360" w:lineRule="auto"/>
        <w:ind w:left="851" w:right="565"/>
        <w:rPr>
          <w:rFonts w:ascii="Georgia" w:hAnsi="Georgia"/>
          <w:sz w:val="22"/>
          <w:szCs w:val="22"/>
        </w:rPr>
      </w:pPr>
      <w:r w:rsidRPr="001B6219">
        <w:rPr>
          <w:rFonts w:ascii="Georgia" w:hAnsi="Georgia"/>
        </w:rPr>
        <w:t>Informationsbroschyr för patient/vårdgivare lämnas till patienten. Där står mer att läsa om skötsel och omläggning.</w:t>
      </w:r>
    </w:p>
    <w:p w14:paraId="033CF370" w14:textId="77777777" w:rsidR="002E4B45" w:rsidRPr="001B6219" w:rsidRDefault="002E4B45" w:rsidP="002E4B45">
      <w:pPr>
        <w:pStyle w:val="Rubrik3"/>
        <w:ind w:left="851"/>
        <w:rPr>
          <w:rFonts w:ascii="Verdana" w:hAnsi="Verdana"/>
          <w:sz w:val="32"/>
          <w:szCs w:val="32"/>
        </w:rPr>
      </w:pPr>
      <w:r w:rsidRPr="001B6219">
        <w:rPr>
          <w:rFonts w:ascii="Verdana" w:hAnsi="Verdana"/>
          <w:sz w:val="32"/>
          <w:szCs w:val="32"/>
        </w:rPr>
        <w:t>Handhavande</w:t>
      </w:r>
    </w:p>
    <w:p w14:paraId="5453CE40" w14:textId="77777777" w:rsidR="002E4B45" w:rsidRPr="001B6219" w:rsidRDefault="002E4B45" w:rsidP="001B6219">
      <w:pPr>
        <w:spacing w:after="0" w:line="360" w:lineRule="auto"/>
        <w:ind w:left="851" w:right="565"/>
        <w:rPr>
          <w:rFonts w:ascii="Georgia" w:hAnsi="Georgia"/>
          <w:sz w:val="22"/>
          <w:szCs w:val="22"/>
        </w:rPr>
      </w:pPr>
      <w:r w:rsidRPr="001B6219">
        <w:rPr>
          <w:rFonts w:ascii="Georgia" w:hAnsi="Georgia"/>
          <w:kern w:val="36"/>
        </w:rPr>
        <w:t xml:space="preserve">Hanteringen av PICC-line sker med samma teknik och aseptik som hantering av vanlig CVK. En </w:t>
      </w:r>
      <w:r w:rsidRPr="001B6219">
        <w:rPr>
          <w:rFonts w:ascii="Georgia" w:hAnsi="Georgia"/>
        </w:rPr>
        <w:t>vilande PICC-line spolas, läggs om</w:t>
      </w:r>
      <w:r w:rsidRPr="001B6219">
        <w:rPr>
          <w:rFonts w:ascii="Georgia" w:hAnsi="Georgia"/>
          <w:b/>
          <w:bCs/>
        </w:rPr>
        <w:t xml:space="preserve"> </w:t>
      </w:r>
      <w:r w:rsidRPr="001B6219">
        <w:rPr>
          <w:rFonts w:ascii="Georgia" w:hAnsi="Georgia"/>
        </w:rPr>
        <w:t xml:space="preserve">och inspekteras 1 gång/vecka. </w:t>
      </w:r>
    </w:p>
    <w:p w14:paraId="62EDC2A1" w14:textId="77777777" w:rsidR="00CA5471" w:rsidRDefault="002E4B45" w:rsidP="00CA5471">
      <w:pPr>
        <w:spacing w:after="0" w:line="360" w:lineRule="auto"/>
        <w:ind w:left="851" w:right="565"/>
        <w:rPr>
          <w:rFonts w:ascii="Georgia" w:hAnsi="Georgia"/>
        </w:rPr>
      </w:pPr>
      <w:r w:rsidRPr="001B6219">
        <w:rPr>
          <w:rFonts w:ascii="Georgia" w:hAnsi="Georgia"/>
        </w:rPr>
        <w:t>På katetern ska backventil med positivt avslut (för närvarande “Caresite”) alltid sitta, och ingenting (kork eller dylikt) på denna.</w:t>
      </w:r>
    </w:p>
    <w:p w14:paraId="696E7675" w14:textId="77777777" w:rsidR="00CA5471" w:rsidRDefault="00CA5471" w:rsidP="00CA5471">
      <w:pPr>
        <w:spacing w:after="0" w:line="360" w:lineRule="auto"/>
        <w:ind w:left="851" w:right="565"/>
        <w:rPr>
          <w:rFonts w:ascii="Georgia" w:hAnsi="Georgia"/>
        </w:rPr>
      </w:pPr>
    </w:p>
    <w:p w14:paraId="11BA19AD" w14:textId="565080EA" w:rsidR="002E4B45" w:rsidRPr="001B6219" w:rsidRDefault="002E4B45" w:rsidP="00CA5471">
      <w:pPr>
        <w:spacing w:after="0" w:line="360" w:lineRule="auto"/>
        <w:ind w:left="851" w:right="565"/>
        <w:rPr>
          <w:rFonts w:ascii="Georgia" w:hAnsi="Georgia"/>
          <w:color w:val="333333"/>
        </w:rPr>
      </w:pPr>
      <w:r w:rsidRPr="001B6219">
        <w:rPr>
          <w:rFonts w:ascii="Verdana" w:hAnsi="Verdana"/>
          <w:sz w:val="32"/>
          <w:szCs w:val="32"/>
        </w:rPr>
        <w:t>Avlägsnande</w:t>
      </w:r>
      <w:r w:rsidRPr="001B6219">
        <w:rPr>
          <w:rFonts w:ascii="Verdana" w:hAnsi="Verdana"/>
          <w:sz w:val="32"/>
          <w:szCs w:val="32"/>
        </w:rPr>
        <w:br/>
      </w:r>
      <w:r w:rsidRPr="001B6219">
        <w:rPr>
          <w:rFonts w:ascii="Georgia" w:hAnsi="Georgia"/>
        </w:rPr>
        <w:t xml:space="preserve">Låt patienten ligga med armen i 90° ut från kroppen då PICC avlägsnas, gärna med värme på 15 minuter innan. Risken för luftemboli vid avlägsnande av PICC anses mycket låg. Det kan ändå vara klokt att, för säkerhets skull, sätta ett transparent förband över kompressen över insticket efter avlägsnandet och be patienten ta bort detta dagen efter. </w:t>
      </w:r>
      <w:r w:rsidRPr="001B6219">
        <w:rPr>
          <w:rFonts w:ascii="Georgia" w:hAnsi="Georgia"/>
        </w:rPr>
        <w:br/>
      </w:r>
      <w:r w:rsidRPr="001B6219">
        <w:rPr>
          <w:rFonts w:ascii="Georgia" w:hAnsi="Georgia"/>
          <w:color w:val="333333"/>
        </w:rPr>
        <w:t>Om katetern avlägsnas pga kateterskada eller pga inläggningskomplikation ska PICC-lineteamet kontaktas (tel 010-4351516).</w:t>
      </w:r>
    </w:p>
    <w:p w14:paraId="2B77B1BA" w14:textId="77777777" w:rsidR="002E4B45" w:rsidRPr="00CA5471" w:rsidRDefault="002E4B45" w:rsidP="002E4B45">
      <w:pPr>
        <w:pStyle w:val="Rubrik2"/>
        <w:ind w:left="851"/>
        <w:rPr>
          <w:rFonts w:ascii="Verdana" w:hAnsi="Verdana"/>
          <w:sz w:val="36"/>
          <w:szCs w:val="36"/>
        </w:rPr>
      </w:pPr>
      <w:r w:rsidRPr="00CA5471">
        <w:rPr>
          <w:rFonts w:ascii="Verdana" w:hAnsi="Verdana"/>
          <w:sz w:val="36"/>
          <w:szCs w:val="36"/>
        </w:rPr>
        <w:lastRenderedPageBreak/>
        <w:t>Komplikationer</w:t>
      </w:r>
    </w:p>
    <w:p w14:paraId="29EA0909" w14:textId="77777777" w:rsidR="002E4B45" w:rsidRPr="00CA5471" w:rsidRDefault="002E4B45" w:rsidP="002E4B45">
      <w:pPr>
        <w:pStyle w:val="Rubrik3"/>
        <w:ind w:left="851"/>
        <w:rPr>
          <w:rFonts w:ascii="Verdana" w:hAnsi="Verdana"/>
          <w:sz w:val="32"/>
          <w:szCs w:val="32"/>
        </w:rPr>
      </w:pPr>
      <w:r w:rsidRPr="00CA5471">
        <w:rPr>
          <w:rFonts w:ascii="Verdana" w:hAnsi="Verdana"/>
          <w:sz w:val="32"/>
          <w:szCs w:val="32"/>
        </w:rPr>
        <w:t>Blödning</w:t>
      </w:r>
    </w:p>
    <w:p w14:paraId="1269574B" w14:textId="77777777" w:rsidR="002E4B45" w:rsidRPr="00CA5471" w:rsidRDefault="002E4B45" w:rsidP="00CA5471">
      <w:pPr>
        <w:spacing w:line="360" w:lineRule="auto"/>
        <w:ind w:left="851" w:right="565"/>
        <w:rPr>
          <w:rFonts w:ascii="Georgia" w:hAnsi="Georgia"/>
        </w:rPr>
      </w:pPr>
      <w:r w:rsidRPr="00CA5471">
        <w:rPr>
          <w:rFonts w:ascii="Georgia" w:hAnsi="Georgia"/>
        </w:rPr>
        <w:t>Det är vanligt att det sipprar lite blod runt insticket den första eller de första dagarna.</w:t>
      </w:r>
    </w:p>
    <w:p w14:paraId="6E46947C" w14:textId="77777777" w:rsidR="002E4B45" w:rsidRPr="00CA5471" w:rsidRDefault="002E4B45" w:rsidP="002E4B45">
      <w:pPr>
        <w:pStyle w:val="Rubrik3"/>
        <w:ind w:left="851"/>
        <w:rPr>
          <w:rFonts w:ascii="Verdana" w:hAnsi="Verdana"/>
          <w:sz w:val="32"/>
          <w:szCs w:val="32"/>
        </w:rPr>
      </w:pPr>
      <w:r w:rsidRPr="00CA5471">
        <w:rPr>
          <w:rFonts w:ascii="Verdana" w:hAnsi="Verdana"/>
          <w:sz w:val="32"/>
          <w:szCs w:val="32"/>
        </w:rPr>
        <w:t>Mekanisk flebit i överarmen</w:t>
      </w:r>
    </w:p>
    <w:p w14:paraId="24BB5AC0" w14:textId="77777777" w:rsidR="002E4B45" w:rsidRPr="00CA5471" w:rsidRDefault="002E4B45" w:rsidP="00CA5471">
      <w:pPr>
        <w:spacing w:line="360" w:lineRule="auto"/>
        <w:ind w:left="851" w:right="565"/>
        <w:rPr>
          <w:rFonts w:ascii="Georgia" w:hAnsi="Georgia"/>
          <w:b/>
          <w:bCs/>
        </w:rPr>
      </w:pPr>
      <w:r w:rsidRPr="00CA5471">
        <w:rPr>
          <w:rFonts w:ascii="Georgia" w:hAnsi="Georgia"/>
        </w:rPr>
        <w:t xml:space="preserve">Ömhet, smärta, rodnad eller värmeökning i PICC-sidans överarm. Kan förebyggas genom att lägga värme på överarmen (vetekudde eller liknande de första dagarna). Smärtlindring med Paracetamol eller NSAID, smörj med Hirudoidsalva. </w:t>
      </w:r>
    </w:p>
    <w:p w14:paraId="42953B69" w14:textId="77777777" w:rsidR="002E4B45" w:rsidRPr="00CA5471" w:rsidRDefault="002E4B45" w:rsidP="00CA5471">
      <w:pPr>
        <w:spacing w:line="360" w:lineRule="auto"/>
        <w:ind w:left="851" w:right="565"/>
        <w:rPr>
          <w:rFonts w:ascii="Georgia" w:hAnsi="Georgia"/>
        </w:rPr>
      </w:pPr>
      <w:r w:rsidRPr="00CA5471">
        <w:rPr>
          <w:rFonts w:ascii="Georgia" w:hAnsi="Georgia"/>
        </w:rPr>
        <w:t>Mekanisk flebit förekommer ytterst sällan efter ultraljudsledd inläggning i överarmen.</w:t>
      </w:r>
    </w:p>
    <w:p w14:paraId="721505CE" w14:textId="77777777" w:rsidR="002E4B45" w:rsidRPr="00CA5471" w:rsidRDefault="002E4B45" w:rsidP="00CA5471">
      <w:pPr>
        <w:autoSpaceDE w:val="0"/>
        <w:autoSpaceDN w:val="0"/>
        <w:adjustRightInd w:val="0"/>
        <w:spacing w:after="0" w:line="360" w:lineRule="auto"/>
        <w:ind w:left="851" w:right="565"/>
        <w:rPr>
          <w:rFonts w:ascii="Georgia" w:hAnsi="Georgia"/>
        </w:rPr>
      </w:pPr>
      <w:r w:rsidRPr="00CA5471">
        <w:rPr>
          <w:rStyle w:val="Rubrik3Char"/>
          <w:rFonts w:ascii="Verdana" w:hAnsi="Verdana"/>
          <w:sz w:val="32"/>
          <w:szCs w:val="32"/>
        </w:rPr>
        <w:t>Tromboser</w:t>
      </w:r>
      <w:r w:rsidRPr="00CA5471">
        <w:rPr>
          <w:rFonts w:ascii="Verdana" w:hAnsi="Verdana"/>
          <w:sz w:val="32"/>
          <w:szCs w:val="32"/>
        </w:rPr>
        <w:br/>
      </w:r>
      <w:r w:rsidRPr="00CA5471">
        <w:rPr>
          <w:rFonts w:ascii="Georgia" w:hAnsi="Georgia"/>
        </w:rPr>
        <w:t>Symtom på trombos på samma sida som PICC-infarten sitter kan vara ödem i arm, skuldra, nacke eller ansikte. Eventuellt vidgade vener i armveck, överarm, skuldra och hals, beroende på trombosens utsträckning. Rodnad och smärta över kärlsträngarna kan förekomma, även plötslig blödning från insticksstället.</w:t>
      </w:r>
    </w:p>
    <w:p w14:paraId="2B8CA7CC" w14:textId="77777777" w:rsidR="002E4B45" w:rsidRPr="00CA5471" w:rsidRDefault="002E4B45" w:rsidP="00CA5471">
      <w:pPr>
        <w:autoSpaceDE w:val="0"/>
        <w:autoSpaceDN w:val="0"/>
        <w:adjustRightInd w:val="0"/>
        <w:spacing w:after="0" w:line="360" w:lineRule="auto"/>
        <w:ind w:left="851" w:right="565"/>
        <w:rPr>
          <w:rFonts w:ascii="Georgia" w:hAnsi="Georgia"/>
        </w:rPr>
      </w:pPr>
      <w:r w:rsidRPr="00CA5471">
        <w:rPr>
          <w:rFonts w:ascii="Georgia" w:hAnsi="Georgia"/>
        </w:rPr>
        <w:t xml:space="preserve">Åtgärd: Om katetern ej behövs bör man ta bort den, men </w:t>
      </w:r>
      <w:r w:rsidRPr="00CA5471">
        <w:rPr>
          <w:rFonts w:ascii="Georgia" w:hAnsi="Georgia"/>
          <w:b/>
          <w:bCs/>
        </w:rPr>
        <w:t xml:space="preserve">först efter 2-5 dagars antikoagulantiabehandling, </w:t>
      </w:r>
      <w:r w:rsidRPr="00CA5471">
        <w:rPr>
          <w:rFonts w:ascii="Georgia" w:hAnsi="Georgia"/>
        </w:rPr>
        <w:t>för att minska risken för lungemboli. (Fragmin/Heparin, samma dosering som vid DVT).</w:t>
      </w:r>
    </w:p>
    <w:p w14:paraId="4E0E0F9B" w14:textId="77777777" w:rsidR="002E4B45" w:rsidRPr="00CA5471" w:rsidRDefault="002E4B45" w:rsidP="00CA5471">
      <w:pPr>
        <w:autoSpaceDE w:val="0"/>
        <w:autoSpaceDN w:val="0"/>
        <w:adjustRightInd w:val="0"/>
        <w:spacing w:after="0" w:line="360" w:lineRule="auto"/>
        <w:ind w:left="851" w:right="565"/>
        <w:rPr>
          <w:rFonts w:ascii="Georgia" w:hAnsi="Georgia"/>
        </w:rPr>
      </w:pPr>
      <w:r w:rsidRPr="00CA5471">
        <w:rPr>
          <w:rFonts w:ascii="Georgia" w:hAnsi="Georgia"/>
        </w:rPr>
        <w:t xml:space="preserve">Fungerar katetern och man behöver den, bör man låta den vara kvar och använda den med samtidig antikoagulantiabehandling, som skall pågå så länge katetern är kvar. </w:t>
      </w:r>
    </w:p>
    <w:p w14:paraId="2D2E6F62" w14:textId="77777777" w:rsidR="002E4B45" w:rsidRPr="00CA5471" w:rsidRDefault="002E4B45" w:rsidP="002E4B45">
      <w:pPr>
        <w:pStyle w:val="Rubrik3"/>
        <w:ind w:left="851"/>
        <w:rPr>
          <w:rFonts w:ascii="Verdana" w:hAnsi="Verdana"/>
          <w:sz w:val="32"/>
          <w:szCs w:val="32"/>
        </w:rPr>
      </w:pPr>
      <w:r w:rsidRPr="00CA5471">
        <w:rPr>
          <w:rFonts w:ascii="Verdana" w:hAnsi="Verdana"/>
          <w:sz w:val="32"/>
          <w:szCs w:val="32"/>
        </w:rPr>
        <w:t>Infektioner</w:t>
      </w:r>
    </w:p>
    <w:p w14:paraId="6973D279" w14:textId="77777777" w:rsidR="002E4B45" w:rsidRPr="00CA5471" w:rsidRDefault="002E4B45" w:rsidP="00CA5471">
      <w:pPr>
        <w:spacing w:after="0" w:line="360" w:lineRule="auto"/>
        <w:ind w:left="851" w:right="565"/>
        <w:rPr>
          <w:rFonts w:ascii="Georgia" w:hAnsi="Georgia"/>
        </w:rPr>
      </w:pPr>
      <w:r w:rsidRPr="00CA5471">
        <w:rPr>
          <w:rFonts w:ascii="Georgia" w:hAnsi="Georgia"/>
        </w:rPr>
        <w:t>God hygien hos personal och patient är den viktigaste åtgärden för att förebygga infektion.</w:t>
      </w:r>
    </w:p>
    <w:p w14:paraId="1B5E5DED" w14:textId="77777777" w:rsidR="002E4B45" w:rsidRPr="00CA5471" w:rsidRDefault="002E4B45" w:rsidP="00CA5471">
      <w:pPr>
        <w:spacing w:after="0" w:line="360" w:lineRule="auto"/>
        <w:ind w:left="851" w:right="565"/>
        <w:rPr>
          <w:rFonts w:ascii="Georgia" w:hAnsi="Georgia"/>
        </w:rPr>
      </w:pPr>
      <w:r w:rsidRPr="00CA5471">
        <w:rPr>
          <w:rFonts w:ascii="Georgia" w:hAnsi="Georgia"/>
        </w:rPr>
        <w:t>Vid lokal insticksinfektion kan ofta katetern behållas och infektionen behandlas framgångsrikt peroralt. Odla alltid från stickstället (allmänodling, MRSA)</w:t>
      </w:r>
    </w:p>
    <w:p w14:paraId="0E460B24" w14:textId="77777777" w:rsidR="002E4B45" w:rsidRPr="00CA5471" w:rsidRDefault="002E4B45" w:rsidP="00CA5471">
      <w:pPr>
        <w:spacing w:after="0" w:line="360" w:lineRule="auto"/>
        <w:ind w:left="851" w:right="565"/>
        <w:rPr>
          <w:rFonts w:ascii="Georgia" w:hAnsi="Georgia"/>
        </w:rPr>
      </w:pPr>
      <w:r w:rsidRPr="00CA5471">
        <w:rPr>
          <w:rFonts w:ascii="Georgia" w:hAnsi="Georgia"/>
        </w:rPr>
        <w:t xml:space="preserve">Systemisk/generell infektion (sepsis): feber och/eller frossa, allmänpåverkan. Infektionsdiagnosen måste ofta baseras på en </w:t>
      </w:r>
      <w:r w:rsidRPr="00CA5471">
        <w:rPr>
          <w:rFonts w:ascii="Georgia" w:hAnsi="Georgia"/>
        </w:rPr>
        <w:lastRenderedPageBreak/>
        <w:t xml:space="preserve">sammanvägning av symtom, kliniska fynd och laboratoriedata. Man strävar, om möjligt, efter att behålla PICC-katetern, men bedömning måste ske från fall till fall. Katetern kan användas om den fungerar. </w:t>
      </w:r>
    </w:p>
    <w:p w14:paraId="302626D7" w14:textId="77777777" w:rsidR="002E4B45" w:rsidRPr="00CA5471" w:rsidRDefault="002E4B45" w:rsidP="002E4B45">
      <w:pPr>
        <w:pStyle w:val="Rubrik3"/>
        <w:ind w:left="851"/>
        <w:rPr>
          <w:rFonts w:ascii="Verdana" w:hAnsi="Verdana"/>
          <w:sz w:val="32"/>
          <w:szCs w:val="32"/>
        </w:rPr>
      </w:pPr>
      <w:r w:rsidRPr="00CA5471">
        <w:rPr>
          <w:rFonts w:ascii="Verdana" w:hAnsi="Verdana"/>
          <w:sz w:val="32"/>
          <w:szCs w:val="32"/>
        </w:rPr>
        <w:t>Ocklusion orsakad av blod, fibrinbeläggning eller fettemulsion</w:t>
      </w:r>
    </w:p>
    <w:p w14:paraId="42ACD9E0" w14:textId="77777777" w:rsidR="002E4B45" w:rsidRPr="00CA5471" w:rsidRDefault="002E4B45" w:rsidP="00CA5471">
      <w:pPr>
        <w:autoSpaceDE w:val="0"/>
        <w:autoSpaceDN w:val="0"/>
        <w:adjustRightInd w:val="0"/>
        <w:spacing w:after="0" w:line="360" w:lineRule="auto"/>
        <w:ind w:left="851" w:right="565"/>
        <w:rPr>
          <w:rFonts w:ascii="Georgia" w:hAnsi="Georgia"/>
        </w:rPr>
      </w:pPr>
      <w:r w:rsidRPr="00CA5471">
        <w:rPr>
          <w:rFonts w:ascii="Georgia" w:hAnsi="Georgia"/>
        </w:rPr>
        <w:t>Actilysebehandling vid ocklusion:</w:t>
      </w:r>
    </w:p>
    <w:p w14:paraId="7C2F430F" w14:textId="77777777" w:rsidR="002E4B45" w:rsidRPr="00CA5471" w:rsidRDefault="002E4B45" w:rsidP="00CA5471">
      <w:pPr>
        <w:tabs>
          <w:tab w:val="left" w:pos="3780"/>
        </w:tabs>
        <w:spacing w:after="0" w:line="360" w:lineRule="auto"/>
        <w:ind w:left="851" w:right="565"/>
        <w:rPr>
          <w:rFonts w:ascii="Georgia" w:hAnsi="Georgia"/>
        </w:rPr>
      </w:pPr>
      <w:r w:rsidRPr="00CA5471">
        <w:rPr>
          <w:rFonts w:ascii="Georgia" w:hAnsi="Georgia"/>
        </w:rPr>
        <w:t>1 ml (1 mg/ml) Actilyse blandas med 0,5 ml NaCl och injiceras i katetern. Vänta 30 min.</w:t>
      </w:r>
    </w:p>
    <w:p w14:paraId="3C2C8ABD" w14:textId="77777777" w:rsidR="002E4B45" w:rsidRPr="00CA5471" w:rsidRDefault="002E4B45" w:rsidP="00CA5471">
      <w:pPr>
        <w:spacing w:after="0" w:line="360" w:lineRule="auto"/>
        <w:ind w:left="851" w:right="565"/>
        <w:rPr>
          <w:rFonts w:ascii="Georgia" w:hAnsi="Georgia"/>
        </w:rPr>
      </w:pPr>
      <w:r w:rsidRPr="00CA5471">
        <w:rPr>
          <w:rFonts w:ascii="Georgia" w:hAnsi="Georgia"/>
        </w:rPr>
        <w:t>Försök aspirera. Är detta inte möjligt försöker man spola in i katetern.</w:t>
      </w:r>
    </w:p>
    <w:p w14:paraId="13D34AE8" w14:textId="77777777" w:rsidR="002E4B45" w:rsidRPr="00CA5471" w:rsidRDefault="002E4B45" w:rsidP="00CA5471">
      <w:pPr>
        <w:spacing w:after="0" w:line="360" w:lineRule="auto"/>
        <w:ind w:left="851" w:right="565"/>
        <w:rPr>
          <w:rFonts w:ascii="Georgia" w:hAnsi="Georgia"/>
        </w:rPr>
      </w:pPr>
      <w:r w:rsidRPr="00CA5471">
        <w:rPr>
          <w:rFonts w:ascii="Georgia" w:hAnsi="Georgia"/>
        </w:rPr>
        <w:t>Vid framgång är det mycket viktigt att man mekaniskt spolar rent katetern med fysiologiskt koksalt med minst 10 ml x 4.</w:t>
      </w:r>
    </w:p>
    <w:p w14:paraId="2BED5C62" w14:textId="77777777" w:rsidR="002E4B45" w:rsidRPr="00CA5471" w:rsidRDefault="002E4B45" w:rsidP="00CA5471">
      <w:pPr>
        <w:spacing w:after="0" w:line="360" w:lineRule="auto"/>
        <w:ind w:left="851" w:right="565"/>
        <w:rPr>
          <w:rFonts w:ascii="Georgia" w:hAnsi="Georgia"/>
        </w:rPr>
      </w:pPr>
      <w:r w:rsidRPr="00CA5471">
        <w:rPr>
          <w:rFonts w:ascii="Georgia" w:hAnsi="Georgia"/>
        </w:rPr>
        <w:t>Får man inget backflöde upprepa med ytterligare Actilyse 1 mg/ml, 0,1 ml var 5:e minut till max 0,3 ml.</w:t>
      </w:r>
    </w:p>
    <w:p w14:paraId="4BFDD49F" w14:textId="77777777" w:rsidR="002E4B45" w:rsidRPr="00CA5471" w:rsidRDefault="002E4B45" w:rsidP="00CA5471">
      <w:pPr>
        <w:spacing w:after="0" w:line="360" w:lineRule="auto"/>
        <w:ind w:left="851" w:right="565"/>
        <w:rPr>
          <w:rFonts w:ascii="Georgia" w:hAnsi="Georgia"/>
        </w:rPr>
      </w:pPr>
      <w:r w:rsidRPr="00CA5471">
        <w:rPr>
          <w:rFonts w:ascii="Georgia" w:hAnsi="Georgia"/>
        </w:rPr>
        <w:t>Actilyse i små ampuller kan beställas via apoteket.</w:t>
      </w:r>
    </w:p>
    <w:p w14:paraId="63D2BA5E" w14:textId="77777777" w:rsidR="002E4B45" w:rsidRPr="00CA5471" w:rsidRDefault="002E4B45" w:rsidP="00CA5471">
      <w:pPr>
        <w:spacing w:after="0" w:line="360" w:lineRule="auto"/>
        <w:ind w:left="851" w:right="565"/>
        <w:rPr>
          <w:rFonts w:ascii="Georgia" w:hAnsi="Georgia"/>
        </w:rPr>
      </w:pPr>
      <w:r w:rsidRPr="00CA5471">
        <w:rPr>
          <w:rFonts w:ascii="Georgia" w:hAnsi="Georgia"/>
          <w:b/>
          <w:bCs/>
        </w:rPr>
        <w:t xml:space="preserve">Observera </w:t>
      </w:r>
      <w:r w:rsidRPr="00CA5471">
        <w:rPr>
          <w:rFonts w:ascii="Georgia" w:hAnsi="Georgia"/>
          <w:bCs/>
        </w:rPr>
        <w:t>att</w:t>
      </w:r>
      <w:r w:rsidRPr="00CA5471">
        <w:rPr>
          <w:rFonts w:ascii="Georgia" w:hAnsi="Georgia"/>
          <w:b/>
          <w:bCs/>
        </w:rPr>
        <w:t xml:space="preserve"> </w:t>
      </w:r>
      <w:r w:rsidRPr="00CA5471">
        <w:rPr>
          <w:rFonts w:ascii="Georgia" w:hAnsi="Georgia"/>
        </w:rPr>
        <w:t>etanol inte kan användas, för det löser upp själva katetern.</w:t>
      </w:r>
      <w:r w:rsidRPr="00CA5471">
        <w:rPr>
          <w:rFonts w:ascii="Georgia" w:hAnsi="Georgia"/>
        </w:rPr>
        <w:br/>
      </w:r>
    </w:p>
    <w:p w14:paraId="2644837D" w14:textId="77777777" w:rsidR="002E4B45" w:rsidRPr="00CA5471" w:rsidRDefault="002E4B45" w:rsidP="00CA5471">
      <w:pPr>
        <w:spacing w:line="360" w:lineRule="auto"/>
        <w:ind w:left="851" w:right="565"/>
        <w:rPr>
          <w:rFonts w:ascii="Georgia" w:hAnsi="Georgia"/>
        </w:rPr>
      </w:pPr>
      <w:r w:rsidRPr="00CA5471">
        <w:rPr>
          <w:rFonts w:ascii="Georgia" w:hAnsi="Georgia"/>
          <w:b/>
          <w:bCs/>
        </w:rPr>
        <w:t>Kateterdislokation</w:t>
      </w:r>
      <w:r w:rsidRPr="00CA5471">
        <w:rPr>
          <w:rFonts w:ascii="Georgia" w:hAnsi="Georgia"/>
        </w:rPr>
        <w:t xml:space="preserve"> – Om katetern har rört sig mer än någon enstaka centimeter bör PICC-inläggande sköterska kontaktas (010-4351516. Vid osäkerhet kan en vanlig slätröntgen med frontalbild där armarna är utefter sidorna visa kateterspetsdjupet. </w:t>
      </w:r>
    </w:p>
    <w:p w14:paraId="2D7515FF" w14:textId="77777777" w:rsidR="002E4B45" w:rsidRPr="00CA5471" w:rsidRDefault="002E4B45" w:rsidP="002E4B45">
      <w:pPr>
        <w:pStyle w:val="Rubrik2"/>
        <w:ind w:left="851"/>
        <w:rPr>
          <w:rFonts w:ascii="Verdana" w:hAnsi="Verdana"/>
          <w:sz w:val="36"/>
          <w:szCs w:val="36"/>
        </w:rPr>
      </w:pPr>
      <w:r w:rsidRPr="00CA5471">
        <w:rPr>
          <w:rFonts w:ascii="Verdana" w:hAnsi="Verdana"/>
          <w:sz w:val="36"/>
          <w:szCs w:val="36"/>
        </w:rPr>
        <w:t>Referenser</w:t>
      </w:r>
    </w:p>
    <w:p w14:paraId="7FD9AB54" w14:textId="77777777" w:rsidR="002E4B45" w:rsidRPr="00CA5471" w:rsidRDefault="002E4B45" w:rsidP="00CA5471">
      <w:pPr>
        <w:tabs>
          <w:tab w:val="left" w:pos="2127"/>
          <w:tab w:val="left" w:pos="2552"/>
        </w:tabs>
        <w:autoSpaceDE w:val="0"/>
        <w:autoSpaceDN w:val="0"/>
        <w:adjustRightInd w:val="0"/>
        <w:spacing w:line="360" w:lineRule="auto"/>
        <w:ind w:left="851" w:right="565"/>
        <w:rPr>
          <w:rFonts w:ascii="Georgia" w:hAnsi="Georgia"/>
        </w:rPr>
      </w:pPr>
      <w:hyperlink r:id="rId17" w:history="1">
        <w:r w:rsidRPr="00CA5471">
          <w:rPr>
            <w:rStyle w:val="Hyperlnk"/>
            <w:rFonts w:ascii="Georgia" w:hAnsi="Georgia"/>
          </w:rPr>
          <w:t>Vårdhandboken referenser</w:t>
        </w:r>
      </w:hyperlink>
    </w:p>
    <w:p w14:paraId="5C8EB198" w14:textId="77777777" w:rsidR="002E4B45" w:rsidRPr="00CA5471" w:rsidRDefault="002E4B45" w:rsidP="00CA5471">
      <w:pPr>
        <w:tabs>
          <w:tab w:val="left" w:pos="2127"/>
          <w:tab w:val="left" w:pos="2552"/>
        </w:tabs>
        <w:autoSpaceDE w:val="0"/>
        <w:autoSpaceDN w:val="0"/>
        <w:adjustRightInd w:val="0"/>
        <w:spacing w:line="360" w:lineRule="auto"/>
        <w:ind w:left="851" w:right="565"/>
        <w:rPr>
          <w:rFonts w:ascii="Georgia" w:hAnsi="Georgia"/>
        </w:rPr>
      </w:pPr>
      <w:r w:rsidRPr="00CA5471">
        <w:rPr>
          <w:rFonts w:ascii="Georgia" w:hAnsi="Georgia"/>
        </w:rPr>
        <w:t xml:space="preserve">SFAI’s rekommendationer </w:t>
      </w:r>
      <w:hyperlink r:id="rId18" w:history="1">
        <w:r w:rsidRPr="00CA5471">
          <w:rPr>
            <w:rStyle w:val="Hyperlnk"/>
            <w:rFonts w:ascii="Georgia" w:hAnsi="Georgia"/>
          </w:rPr>
          <w:t>PICC-line, CVK</w:t>
        </w:r>
      </w:hyperlink>
    </w:p>
    <w:p w14:paraId="69400CA0" w14:textId="77777777" w:rsidR="002E4B45" w:rsidRPr="00CA5471" w:rsidRDefault="002E4B45" w:rsidP="00CA5471">
      <w:pPr>
        <w:spacing w:line="360" w:lineRule="auto"/>
        <w:ind w:left="851" w:right="565"/>
        <w:rPr>
          <w:rFonts w:ascii="Georgia" w:hAnsi="Georgia"/>
          <w:lang w:val="en-US"/>
        </w:rPr>
      </w:pPr>
      <w:r w:rsidRPr="00CA5471">
        <w:rPr>
          <w:rFonts w:ascii="Georgia" w:hAnsi="Georgia"/>
          <w:lang w:val="en-US"/>
        </w:rPr>
        <w:t xml:space="preserve">JL Baskin </w:t>
      </w:r>
      <w:r w:rsidRPr="00CA5471">
        <w:rPr>
          <w:rFonts w:ascii="Georgia" w:hAnsi="Georgia"/>
          <w:b/>
          <w:lang w:val="en-US"/>
        </w:rPr>
        <w:t>Management of occlusion and thrombosis associated with long-term indwelling central venous catheters</w:t>
      </w:r>
      <w:r w:rsidRPr="00CA5471">
        <w:rPr>
          <w:rFonts w:ascii="Georgia" w:hAnsi="Georgia"/>
          <w:lang w:val="en-US"/>
        </w:rPr>
        <w:t>, Lancet, 374, Issue 9684 (2009) sid 159-169</w:t>
      </w:r>
    </w:p>
    <w:p w14:paraId="5931525B" w14:textId="77777777" w:rsidR="002E4B45" w:rsidRPr="00CA5471" w:rsidRDefault="002E4B45" w:rsidP="00CA5471">
      <w:pPr>
        <w:spacing w:line="360" w:lineRule="auto"/>
        <w:ind w:left="851" w:right="565"/>
        <w:rPr>
          <w:rFonts w:ascii="Georgia" w:hAnsi="Georgia"/>
          <w:lang w:val="en-US"/>
        </w:rPr>
      </w:pPr>
      <w:r w:rsidRPr="00CA5471">
        <w:rPr>
          <w:rFonts w:ascii="Georgia" w:hAnsi="Georgia"/>
          <w:lang w:val="en-US"/>
        </w:rPr>
        <w:t xml:space="preserve">AYY Lee, JS Ginsberg </w:t>
      </w:r>
      <w:r w:rsidRPr="00CA5471">
        <w:rPr>
          <w:rFonts w:ascii="Georgia" w:hAnsi="Georgia"/>
          <w:b/>
          <w:bCs/>
          <w:lang w:val="en-US"/>
        </w:rPr>
        <w:t>Venous thrombosis of the upper extremities</w:t>
      </w:r>
    </w:p>
    <w:p w14:paraId="408AFEB9" w14:textId="12F83497" w:rsidR="002E4B45" w:rsidRDefault="002E4B45" w:rsidP="00CA5471">
      <w:pPr>
        <w:spacing w:line="360" w:lineRule="auto"/>
        <w:ind w:left="851" w:right="565"/>
        <w:rPr>
          <w:rFonts w:ascii="Arial Fet" w:hAnsi="Arial Fet" w:cs="Arial"/>
          <w:b/>
          <w:bCs/>
          <w:kern w:val="32"/>
          <w:sz w:val="28"/>
          <w:szCs w:val="32"/>
        </w:rPr>
      </w:pPr>
      <w:r w:rsidRPr="00CA5471">
        <w:rPr>
          <w:rFonts w:ascii="Georgia" w:hAnsi="Georgia"/>
          <w:lang w:val="en-US"/>
        </w:rPr>
        <w:t>Curr Opin Cardiovasc Med, 5 (2001), pp. 207-214</w:t>
      </w:r>
    </w:p>
    <w:p w14:paraId="4F4C8180" w14:textId="77777777" w:rsidR="007219FF" w:rsidRDefault="007219FF" w:rsidP="00966DC3">
      <w:pPr>
        <w:pStyle w:val="Rubrik3"/>
        <w:ind w:left="851" w:right="565"/>
        <w:rPr>
          <w:rFonts w:ascii="Arial Fet" w:hAnsi="Arial Fet" w:cs="Arial"/>
          <w:b/>
          <w:bCs w:val="0"/>
          <w:kern w:val="32"/>
          <w:sz w:val="28"/>
          <w:szCs w:val="32"/>
        </w:rPr>
      </w:pPr>
    </w:p>
    <w:sectPr w:rsidR="007219FF" w:rsidSect="005908F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CC90EB" w14:textId="77777777" w:rsidR="00B95464" w:rsidRDefault="00B95464">
      <w:r>
        <w:separator/>
      </w:r>
    </w:p>
  </w:endnote>
  <w:endnote w:type="continuationSeparator" w:id="0">
    <w:p w14:paraId="60BFC2AF" w14:textId="77777777" w:rsidR="00B95464" w:rsidRDefault="00B95464">
      <w:r>
        <w:continuationSeparator/>
      </w:r>
    </w:p>
  </w:endnote>
  <w:endnote w:type="continuationNotice" w:id="1">
    <w:p w14:paraId="0CCD02F7" w14:textId="77777777" w:rsidR="00B95464" w:rsidRDefault="00B9546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Arial Fet">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6" name="Bildobjekt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CBE9B7" w14:textId="77777777" w:rsidR="00B95464" w:rsidRDefault="00B95464"/>
  </w:footnote>
  <w:footnote w:type="continuationSeparator" w:id="0">
    <w:p w14:paraId="5823701D" w14:textId="77777777" w:rsidR="00B95464" w:rsidRDefault="00B95464">
      <w:r>
        <w:continuationSeparator/>
      </w:r>
    </w:p>
  </w:footnote>
  <w:footnote w:type="continuationNotice" w:id="1">
    <w:p w14:paraId="6D93B429" w14:textId="77777777" w:rsidR="00B95464" w:rsidRDefault="00B9546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31837819">
    <w:abstractNumId w:val="18"/>
  </w:num>
  <w:num w:numId="2" w16cid:durableId="1155560831">
    <w:abstractNumId w:val="15"/>
  </w:num>
  <w:num w:numId="3" w16cid:durableId="1498689504">
    <w:abstractNumId w:val="0"/>
  </w:num>
  <w:num w:numId="4" w16cid:durableId="149686651">
    <w:abstractNumId w:val="7"/>
  </w:num>
  <w:num w:numId="5" w16cid:durableId="1398164672">
    <w:abstractNumId w:val="16"/>
  </w:num>
  <w:num w:numId="6" w16cid:durableId="1241410175">
    <w:abstractNumId w:val="2"/>
  </w:num>
  <w:num w:numId="7" w16cid:durableId="985167775">
    <w:abstractNumId w:val="12"/>
  </w:num>
  <w:num w:numId="8" w16cid:durableId="110823623">
    <w:abstractNumId w:val="9"/>
  </w:num>
  <w:num w:numId="9" w16cid:durableId="540551711">
    <w:abstractNumId w:val="1"/>
  </w:num>
  <w:num w:numId="10" w16cid:durableId="887649143">
    <w:abstractNumId w:val="1"/>
  </w:num>
  <w:num w:numId="11" w16cid:durableId="809053406">
    <w:abstractNumId w:val="3"/>
  </w:num>
  <w:num w:numId="12" w16cid:durableId="1588995166">
    <w:abstractNumId w:val="4"/>
  </w:num>
  <w:num w:numId="13" w16cid:durableId="1827745593">
    <w:abstractNumId w:val="14"/>
  </w:num>
  <w:num w:numId="14" w16cid:durableId="1075512643">
    <w:abstractNumId w:val="10"/>
  </w:num>
  <w:num w:numId="15" w16cid:durableId="1013922343">
    <w:abstractNumId w:val="8"/>
  </w:num>
  <w:num w:numId="16" w16cid:durableId="1529299521">
    <w:abstractNumId w:val="13"/>
  </w:num>
  <w:num w:numId="17" w16cid:durableId="1462452704">
    <w:abstractNumId w:val="5"/>
  </w:num>
  <w:num w:numId="18" w16cid:durableId="405568311">
    <w:abstractNumId w:val="11"/>
  </w:num>
  <w:num w:numId="19" w16cid:durableId="1779373761">
    <w:abstractNumId w:val="17"/>
  </w:num>
  <w:num w:numId="20" w16cid:durableId="29845614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378D"/>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2D28"/>
    <w:rsid w:val="000E463B"/>
    <w:rsid w:val="000E5A7E"/>
    <w:rsid w:val="000E6DC7"/>
    <w:rsid w:val="000F43A3"/>
    <w:rsid w:val="000F7681"/>
    <w:rsid w:val="00103031"/>
    <w:rsid w:val="001044FE"/>
    <w:rsid w:val="001139D4"/>
    <w:rsid w:val="00131B08"/>
    <w:rsid w:val="00132A59"/>
    <w:rsid w:val="00133337"/>
    <w:rsid w:val="00133A0F"/>
    <w:rsid w:val="0013580F"/>
    <w:rsid w:val="00136099"/>
    <w:rsid w:val="00137B6D"/>
    <w:rsid w:val="0014070B"/>
    <w:rsid w:val="001422C1"/>
    <w:rsid w:val="00143A95"/>
    <w:rsid w:val="001522AE"/>
    <w:rsid w:val="00157D5B"/>
    <w:rsid w:val="00161FE6"/>
    <w:rsid w:val="001647EA"/>
    <w:rsid w:val="00164C3D"/>
    <w:rsid w:val="00166D3A"/>
    <w:rsid w:val="00181FDC"/>
    <w:rsid w:val="001860B9"/>
    <w:rsid w:val="00186F2B"/>
    <w:rsid w:val="001874D6"/>
    <w:rsid w:val="0019632A"/>
    <w:rsid w:val="001A4E7C"/>
    <w:rsid w:val="001B6219"/>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65DCF"/>
    <w:rsid w:val="00280A85"/>
    <w:rsid w:val="00284119"/>
    <w:rsid w:val="00290B5C"/>
    <w:rsid w:val="00294791"/>
    <w:rsid w:val="002B0B30"/>
    <w:rsid w:val="002B0C78"/>
    <w:rsid w:val="002C0C02"/>
    <w:rsid w:val="002C1277"/>
    <w:rsid w:val="002C60AD"/>
    <w:rsid w:val="002D0E0E"/>
    <w:rsid w:val="002D6023"/>
    <w:rsid w:val="002E263F"/>
    <w:rsid w:val="002E4B45"/>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08FC"/>
    <w:rsid w:val="00597E28"/>
    <w:rsid w:val="005A2E3B"/>
    <w:rsid w:val="005A54ED"/>
    <w:rsid w:val="005A5D5B"/>
    <w:rsid w:val="005A6081"/>
    <w:rsid w:val="005A627D"/>
    <w:rsid w:val="005C0045"/>
    <w:rsid w:val="005C084E"/>
    <w:rsid w:val="005C4606"/>
    <w:rsid w:val="005C53EB"/>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3CDB"/>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19FF"/>
    <w:rsid w:val="007221C2"/>
    <w:rsid w:val="00725816"/>
    <w:rsid w:val="00730955"/>
    <w:rsid w:val="00733A9C"/>
    <w:rsid w:val="00736574"/>
    <w:rsid w:val="007367E0"/>
    <w:rsid w:val="00737215"/>
    <w:rsid w:val="00754905"/>
    <w:rsid w:val="00760038"/>
    <w:rsid w:val="00762EE0"/>
    <w:rsid w:val="0076557F"/>
    <w:rsid w:val="00765C41"/>
    <w:rsid w:val="00771100"/>
    <w:rsid w:val="007759DD"/>
    <w:rsid w:val="007802AC"/>
    <w:rsid w:val="0078609F"/>
    <w:rsid w:val="007917BA"/>
    <w:rsid w:val="007A5C6F"/>
    <w:rsid w:val="007D4241"/>
    <w:rsid w:val="007D4317"/>
    <w:rsid w:val="007D4EA3"/>
    <w:rsid w:val="007F1CFF"/>
    <w:rsid w:val="007F5DD5"/>
    <w:rsid w:val="008120B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445"/>
    <w:rsid w:val="00950E4E"/>
    <w:rsid w:val="009529BD"/>
    <w:rsid w:val="009533B4"/>
    <w:rsid w:val="00966DC3"/>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6843"/>
    <w:rsid w:val="00A65FD4"/>
    <w:rsid w:val="00A81198"/>
    <w:rsid w:val="00A81E48"/>
    <w:rsid w:val="00A82035"/>
    <w:rsid w:val="00A90D77"/>
    <w:rsid w:val="00A92E07"/>
    <w:rsid w:val="00AA0B3A"/>
    <w:rsid w:val="00AA6CF5"/>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61B7"/>
    <w:rsid w:val="00B77D88"/>
    <w:rsid w:val="00B77FAF"/>
    <w:rsid w:val="00B84336"/>
    <w:rsid w:val="00B851B9"/>
    <w:rsid w:val="00B86453"/>
    <w:rsid w:val="00B90054"/>
    <w:rsid w:val="00B92C14"/>
    <w:rsid w:val="00B9546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A5471"/>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0674"/>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54BE"/>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Normalwebb">
    <w:name w:val="Normal (Web)"/>
    <w:basedOn w:val="Normal"/>
    <w:unhideWhenUsed/>
    <w:rsid w:val="00136099"/>
    <w:pPr>
      <w:spacing w:before="100" w:beforeAutospacing="1" w:after="100" w:afterAutospacing="1" w:line="240" w:lineRule="auto"/>
      <w:ind w:left="0"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88324415">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google.se/url?sa=t&amp;rct=j&amp;q=&amp;esrc=s&amp;frm=1&amp;source=web&amp;cd=6&amp;cad=rja&amp;uact=8&amp;ved=0CEEQFjAF&amp;url=http%3A%2F%2Fsfai.se%2Fdownload-attachment%2F507%2F&amp;ei=Ay5oVdWVLOa9ygP4rIGoBQ&amp;usg=AFQjCNECNPQa85Ed971nsS9w8upX_otj5A&amp;sig2=QiJ3WyHcR3btv0wHw6MH7g"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vardhandboken.se/Texter/PICC-line/Referenser-och-regelverk/"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27</TotalTime>
  <Pages>5</Pages>
  <Words>1003</Words>
  <Characters>6290</Characters>
  <Application>Microsoft Office Word</Application>
  <DocSecurity>0</DocSecurity>
  <Lines>52</Lines>
  <Paragraphs>14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7279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PICC-line (Perifert inlagd central venkateter)</dc:title>
  <dc:subject/>
  <dc:creator>patrik.jens.johansson@vgregion.se</dc:creator>
  <keywords/>
  <lastModifiedBy>Carina Isbrand Fransson</lastModifiedBy>
  <revision>25</revision>
  <lastPrinted>2016-03-31T10:56:00.0000000Z</lastPrinted>
  <dcterms:created xsi:type="dcterms:W3CDTF">2022-05-24T04:08:00.0000000Z</dcterms:created>
  <dcterms:modified xsi:type="dcterms:W3CDTF">2025-12-22T08:36:00.0000000Z</dcterms:modified>
</coreProperties>
</file>