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FD02C" w14:textId="77777777" w:rsidR="002B7203" w:rsidRDefault="002B7203" w:rsidP="00F033AF">
      <w:pPr>
        <w:pStyle w:val="Rubrik2"/>
        <w:ind w:right="140"/>
        <w:sectPr w:rsidR="002B7203" w:rsidSect="002B720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101E175" w14:textId="77777777" w:rsidR="002B7203" w:rsidRPr="002B7203" w:rsidRDefault="002B7203" w:rsidP="00F033AF">
      <w:pPr>
        <w:spacing w:after="0" w:line="240" w:lineRule="auto"/>
        <w:ind w:right="140"/>
        <w:rPr>
          <w:szCs w:val="20"/>
        </w:rPr>
      </w:pPr>
    </w:p>
    <w:p w14:paraId="40330531" w14:textId="77777777" w:rsidR="002B7203" w:rsidRPr="002B7203" w:rsidRDefault="002B7203" w:rsidP="00F033AF">
      <w:pPr>
        <w:spacing w:after="0" w:line="240" w:lineRule="auto"/>
        <w:ind w:right="140"/>
        <w:rPr>
          <w:szCs w:val="20"/>
        </w:rPr>
      </w:pPr>
    </w:p>
    <w:p w14:paraId="005B11C8" w14:textId="77777777" w:rsidR="002B7203" w:rsidRPr="002B7203" w:rsidRDefault="002B7203" w:rsidP="00F033AF">
      <w:pPr>
        <w:tabs>
          <w:tab w:val="left" w:pos="4590"/>
        </w:tabs>
        <w:spacing w:after="0" w:line="240" w:lineRule="auto"/>
        <w:ind w:right="140"/>
        <w:rPr>
          <w:szCs w:val="20"/>
        </w:rPr>
      </w:pPr>
      <w:r w:rsidRPr="002B7203">
        <w:rPr>
          <w:szCs w:val="20"/>
        </w:rPr>
        <w:tab/>
      </w:r>
    </w:p>
    <w:p w14:paraId="40C5D097" w14:textId="77777777" w:rsidR="002B7203" w:rsidRPr="002B7203" w:rsidRDefault="002B7203" w:rsidP="00F033AF">
      <w:pPr>
        <w:spacing w:after="0" w:line="240" w:lineRule="auto"/>
        <w:ind w:right="140"/>
        <w:rPr>
          <w:szCs w:val="20"/>
        </w:rPr>
      </w:pPr>
    </w:p>
    <w:p w14:paraId="7FE00DC4" w14:textId="77777777" w:rsidR="002B7203" w:rsidRPr="002B7203" w:rsidRDefault="002B7203" w:rsidP="00F033AF">
      <w:pPr>
        <w:spacing w:after="0" w:line="240" w:lineRule="auto"/>
        <w:ind w:right="140"/>
        <w:rPr>
          <w:szCs w:val="20"/>
        </w:rPr>
      </w:pPr>
    </w:p>
    <w:p w14:paraId="517D096B" w14:textId="77777777" w:rsidR="002B7203" w:rsidRPr="002B7203" w:rsidRDefault="002B7203" w:rsidP="00F033AF">
      <w:pPr>
        <w:tabs>
          <w:tab w:val="left" w:pos="4590"/>
        </w:tabs>
        <w:spacing w:after="0" w:line="240" w:lineRule="auto"/>
        <w:ind w:right="140"/>
        <w:rPr>
          <w:szCs w:val="20"/>
        </w:rPr>
      </w:pPr>
      <w:r w:rsidRPr="002B7203">
        <w:rPr>
          <w:szCs w:val="20"/>
        </w:rPr>
        <w:tab/>
      </w:r>
    </w:p>
    <w:p w14:paraId="44DF3965" w14:textId="77777777" w:rsidR="002B7203" w:rsidRPr="002B7203" w:rsidRDefault="002B7203" w:rsidP="00F033AF">
      <w:pPr>
        <w:pStyle w:val="Rubrik1"/>
        <w:ind w:right="140"/>
        <w:rPr>
          <w:sz w:val="36"/>
          <w:szCs w:val="36"/>
        </w:rPr>
      </w:pPr>
      <w:r w:rsidRPr="002B7203">
        <w:t xml:space="preserve">Anafylaxi i samband med anestesi och intensivvård </w:t>
      </w:r>
    </w:p>
    <w:p w14:paraId="42A9A445" w14:textId="77777777" w:rsidR="002B7203" w:rsidRPr="002B7203" w:rsidRDefault="002B7203" w:rsidP="00F033AF">
      <w:pPr>
        <w:pStyle w:val="Rubrik2"/>
        <w:ind w:right="140"/>
      </w:pPr>
      <w:r w:rsidRPr="002B7203">
        <w:t xml:space="preserve">Revidering i denna version: </w:t>
      </w:r>
    </w:p>
    <w:p w14:paraId="010FB6F9" w14:textId="4E722FCC" w:rsidR="002B7203" w:rsidRPr="002B7203" w:rsidRDefault="005154B4" w:rsidP="00F033AF">
      <w:pPr>
        <w:spacing w:after="0" w:line="240" w:lineRule="auto"/>
        <w:ind w:right="140"/>
        <w:rPr>
          <w:szCs w:val="20"/>
        </w:rPr>
      </w:pPr>
      <w:r>
        <w:rPr>
          <w:szCs w:val="20"/>
        </w:rPr>
        <w:t>Ingen</w:t>
      </w:r>
      <w:r w:rsidR="002B7203" w:rsidRPr="002B7203">
        <w:rPr>
          <w:szCs w:val="20"/>
        </w:rPr>
        <w:t xml:space="preserve"> revidering.</w:t>
      </w:r>
    </w:p>
    <w:p w14:paraId="52EB2202" w14:textId="77777777" w:rsidR="002B7203" w:rsidRPr="002B7203" w:rsidRDefault="002B7203" w:rsidP="00F033AF">
      <w:pPr>
        <w:pStyle w:val="Rubrik2"/>
        <w:ind w:right="140"/>
      </w:pPr>
      <w:r w:rsidRPr="002B7203">
        <w:t xml:space="preserve">Bakgrund </w:t>
      </w:r>
    </w:p>
    <w:p w14:paraId="21847F5F" w14:textId="77777777" w:rsidR="002B7203" w:rsidRPr="002B7203" w:rsidRDefault="002B7203" w:rsidP="00F033AF">
      <w:pPr>
        <w:spacing w:after="0" w:line="240" w:lineRule="auto"/>
        <w:ind w:right="140"/>
        <w:rPr>
          <w:szCs w:val="20"/>
        </w:rPr>
      </w:pPr>
    </w:p>
    <w:p w14:paraId="731719E1" w14:textId="77777777" w:rsidR="002B7203" w:rsidRPr="002B7203" w:rsidRDefault="002B7203" w:rsidP="00F033AF">
      <w:pPr>
        <w:spacing w:after="0" w:line="240" w:lineRule="auto"/>
        <w:ind w:right="140"/>
        <w:rPr>
          <w:szCs w:val="28"/>
        </w:rPr>
      </w:pPr>
      <w:r w:rsidRPr="002B7203">
        <w:rPr>
          <w:szCs w:val="28"/>
        </w:rPr>
        <w:t>Anafylaxi utgör en svår livshotande generell eller systemisk överkänslighetsreaktion som enligt European Academy of Allergology and Clinical Immunology (EAACI) task force kan orsakas av en allergisk eller icke-allergisk reaktion.</w:t>
      </w:r>
    </w:p>
    <w:p w14:paraId="5848B9AF" w14:textId="77777777" w:rsidR="002B7203" w:rsidRPr="002B7203" w:rsidRDefault="002B7203" w:rsidP="00F033AF">
      <w:pPr>
        <w:spacing w:after="0" w:line="240" w:lineRule="auto"/>
        <w:ind w:right="140"/>
      </w:pPr>
    </w:p>
    <w:p w14:paraId="79084C9B" w14:textId="77777777" w:rsidR="002B7203" w:rsidRPr="002B7203" w:rsidRDefault="002B7203" w:rsidP="00F033AF">
      <w:pPr>
        <w:spacing w:after="0" w:line="240" w:lineRule="auto"/>
        <w:ind w:right="140"/>
      </w:pPr>
      <w:r w:rsidRPr="002B7203">
        <w:t>Oavsett bakomliggande mekanismer är de kliniska manifestationerna likartade:</w:t>
      </w:r>
    </w:p>
    <w:p w14:paraId="4E6FD4F0" w14:textId="77777777" w:rsidR="002B7203" w:rsidRPr="002B7203" w:rsidRDefault="002B7203" w:rsidP="00F033AF">
      <w:pPr>
        <w:spacing w:after="0" w:line="240" w:lineRule="auto"/>
        <w:ind w:right="140"/>
      </w:pPr>
      <w:r w:rsidRPr="002B7203">
        <w:t>Diffust erytem, klåda, urtikaria och/eller angioödem, bronkospasm, larynxödem, hyperperistaltik, hypotension, hjärtarytmier och cirkulationskollaps. Vid icke-allergisk anafylaxi (förr kallad ”anafylaktoid” reaktion), som ofta är en variant som uppträder vid reaktioner på läkemedel, sker en direkt påverkan på det inflammatoriska systemet vilket hos den känsliga eller försvagade individen snabbt utvecklas till en generell, svår reaktion. Vid allergisk anafylaxi är individen vid kontakttillfället sensibiliserad, dvs han/hon har kommit i kontakt med ämnet tidigare och bildat antikroppar eller möjligtvis lymfocyter specifikt för ämnet.</w:t>
      </w:r>
    </w:p>
    <w:p w14:paraId="3348D421" w14:textId="77777777" w:rsidR="002B7203" w:rsidRPr="002B7203" w:rsidRDefault="002B7203" w:rsidP="00F033AF">
      <w:pPr>
        <w:spacing w:after="0" w:line="240" w:lineRule="auto"/>
        <w:ind w:right="140"/>
        <w:rPr>
          <w:sz w:val="28"/>
          <w:szCs w:val="28"/>
        </w:rPr>
      </w:pPr>
    </w:p>
    <w:p w14:paraId="0BFEC0C5" w14:textId="77777777" w:rsidR="002B7203" w:rsidRPr="002B7203" w:rsidRDefault="002B7203" w:rsidP="00F033AF">
      <w:pPr>
        <w:spacing w:after="0" w:line="240" w:lineRule="auto"/>
        <w:ind w:right="140"/>
        <w:rPr>
          <w:sz w:val="28"/>
          <w:szCs w:val="28"/>
        </w:rPr>
      </w:pPr>
      <w:r w:rsidRPr="002B7203">
        <w:rPr>
          <w:sz w:val="28"/>
          <w:szCs w:val="28"/>
        </w:rPr>
        <w:t xml:space="preserve">Se kompendium , </w:t>
      </w:r>
      <w:r w:rsidRPr="002B7203">
        <w:rPr>
          <w:rFonts w:ascii="Arial" w:hAnsi="Arial" w:cs="Arial"/>
          <w:b/>
          <w:bCs/>
          <w:color w:val="545454"/>
          <w:sz w:val="28"/>
          <w:szCs w:val="28"/>
        </w:rPr>
        <w:t xml:space="preserve">Svenska föreningen för allergologi, </w:t>
      </w:r>
      <w:r w:rsidRPr="002B7203">
        <w:rPr>
          <w:rFonts w:ascii="Arial" w:hAnsi="Arial" w:cs="Arial"/>
          <w:color w:val="545454"/>
          <w:sz w:val="28"/>
          <w:szCs w:val="28"/>
        </w:rPr>
        <w:t>SFFA</w:t>
      </w:r>
      <w:r w:rsidRPr="002B7203">
        <w:rPr>
          <w:rFonts w:ascii="Arial" w:hAnsi="Arial" w:cs="Arial"/>
          <w:b/>
          <w:bCs/>
          <w:color w:val="545454"/>
          <w:sz w:val="28"/>
          <w:szCs w:val="28"/>
        </w:rPr>
        <w:t xml:space="preserve"> 2015</w:t>
      </w:r>
    </w:p>
    <w:p w14:paraId="473603AF" w14:textId="77777777" w:rsidR="002B7203" w:rsidRPr="002B7203" w:rsidRDefault="004700B9" w:rsidP="00F033AF">
      <w:pPr>
        <w:spacing w:after="0" w:line="240" w:lineRule="auto"/>
        <w:ind w:right="140"/>
        <w:rPr>
          <w:sz w:val="28"/>
          <w:szCs w:val="28"/>
        </w:rPr>
      </w:pPr>
      <w:hyperlink r:id="rId17" w:history="1">
        <w:r w:rsidR="002B7203" w:rsidRPr="002B7203">
          <w:rPr>
            <w:b/>
            <w:bCs/>
            <w:color w:val="0000FF"/>
            <w:sz w:val="28"/>
            <w:szCs w:val="28"/>
            <w:u w:val="single"/>
          </w:rPr>
          <w:t>http://www.sffa.nu/wp-content/uploads/2015/12/Anafylaxi_sept_2015.pdf</w:t>
        </w:r>
      </w:hyperlink>
    </w:p>
    <w:p w14:paraId="7E381A4D" w14:textId="77777777" w:rsidR="002B7203" w:rsidRPr="002B7203" w:rsidRDefault="002B7203" w:rsidP="00F033AF">
      <w:pPr>
        <w:pStyle w:val="Rubrik2"/>
        <w:ind w:right="140"/>
      </w:pPr>
      <w:r w:rsidRPr="002B7203">
        <w:rPr>
          <w:b/>
        </w:rPr>
        <w:lastRenderedPageBreak/>
        <w:br/>
      </w:r>
      <w:r w:rsidRPr="002B7203">
        <w:t>Klassificering av manifestationer vid anafylaxi</w:t>
      </w:r>
    </w:p>
    <w:p w14:paraId="4955F1FC" w14:textId="77777777" w:rsidR="002B7203" w:rsidRPr="002B7203" w:rsidRDefault="002B7203" w:rsidP="00F033AF">
      <w:pPr>
        <w:spacing w:after="0" w:line="240" w:lineRule="auto"/>
        <w:ind w:right="140"/>
        <w:rPr>
          <w:szCs w:val="20"/>
        </w:rPr>
      </w:pPr>
    </w:p>
    <w:p w14:paraId="01312DB0" w14:textId="77777777" w:rsidR="002B7203" w:rsidRPr="002B7203" w:rsidRDefault="002B7203" w:rsidP="00F033AF">
      <w:pPr>
        <w:spacing w:after="0" w:line="240" w:lineRule="auto"/>
        <w:ind w:right="140"/>
      </w:pPr>
      <w:r w:rsidRPr="002B7203">
        <w:t>Fem stadier med ökande svårighetsgrad:</w:t>
      </w:r>
    </w:p>
    <w:p w14:paraId="56B263F2" w14:textId="77777777" w:rsidR="002B7203" w:rsidRPr="002B7203" w:rsidRDefault="002B7203" w:rsidP="00F033AF">
      <w:pPr>
        <w:spacing w:after="0" w:line="240" w:lineRule="auto"/>
        <w:ind w:right="140"/>
      </w:pPr>
    </w:p>
    <w:p w14:paraId="14B11ECC" w14:textId="77777777" w:rsidR="002B7203" w:rsidRPr="002B7203" w:rsidRDefault="002B7203" w:rsidP="00F033AF">
      <w:pPr>
        <w:spacing w:after="0" w:line="240" w:lineRule="auto"/>
        <w:ind w:left="1276" w:right="140" w:hanging="315"/>
      </w:pPr>
      <w:r w:rsidRPr="002B7203">
        <w:t>1.</w:t>
      </w:r>
      <w:r w:rsidRPr="002B7203">
        <w:tab/>
        <w:t>Generella kutana symptom med erytem, urtikaria med/eller utan angioödem</w:t>
      </w:r>
    </w:p>
    <w:p w14:paraId="69F73BEB" w14:textId="77777777" w:rsidR="002B7203" w:rsidRPr="002B7203" w:rsidRDefault="002B7203" w:rsidP="00F033AF">
      <w:pPr>
        <w:spacing w:after="0" w:line="240" w:lineRule="auto"/>
        <w:ind w:left="1276" w:right="140" w:hanging="315"/>
      </w:pPr>
      <w:r w:rsidRPr="002B7203">
        <w:t>2.</w:t>
      </w:r>
      <w:r w:rsidRPr="002B7203">
        <w:tab/>
        <w:t>Måttlig multiorganpåverkan med kutana symptom, hypotension och takykardi, bronkiell hyperreaktivitet (hosta, ventilationssvårigheter)</w:t>
      </w:r>
    </w:p>
    <w:p w14:paraId="4CC28EF8" w14:textId="77777777" w:rsidR="002B7203" w:rsidRPr="002B7203" w:rsidRDefault="002B7203" w:rsidP="00F033AF">
      <w:pPr>
        <w:spacing w:after="0" w:line="240" w:lineRule="auto"/>
        <w:ind w:left="1276" w:right="140" w:hanging="315"/>
      </w:pPr>
      <w:r w:rsidRPr="002B7203">
        <w:t>3.</w:t>
      </w:r>
      <w:r w:rsidRPr="002B7203">
        <w:tab/>
        <w:t>Svår livshotande multiorganpåverkan som kräver specifik behandling (cirkulationskollaps, brady/takykardi, annan hjärtarytmi, bronkospasm). Kutana tecken kan saknas.</w:t>
      </w:r>
    </w:p>
    <w:p w14:paraId="5EF3AFCF" w14:textId="77777777" w:rsidR="002B7203" w:rsidRPr="002B7203" w:rsidRDefault="002B7203" w:rsidP="00F033AF">
      <w:pPr>
        <w:spacing w:after="0" w:line="240" w:lineRule="auto"/>
        <w:ind w:left="1276" w:right="140" w:hanging="315"/>
      </w:pPr>
      <w:r w:rsidRPr="002B7203">
        <w:t>4.</w:t>
      </w:r>
      <w:r w:rsidRPr="002B7203">
        <w:tab/>
        <w:t>Cirkulations- eller andningsstillestånd</w:t>
      </w:r>
    </w:p>
    <w:p w14:paraId="45AC91BC" w14:textId="77777777" w:rsidR="002B7203" w:rsidRPr="002B7203" w:rsidRDefault="002B7203" w:rsidP="00F033AF">
      <w:pPr>
        <w:spacing w:after="0" w:line="240" w:lineRule="auto"/>
        <w:ind w:left="1276" w:right="140" w:hanging="315"/>
      </w:pPr>
      <w:r w:rsidRPr="002B7203">
        <w:t>5.</w:t>
      </w:r>
      <w:r w:rsidRPr="002B7203">
        <w:tab/>
        <w:t>Mors</w:t>
      </w:r>
    </w:p>
    <w:p w14:paraId="085FA49B" w14:textId="77777777" w:rsidR="002B7203" w:rsidRPr="002B7203" w:rsidRDefault="002B7203" w:rsidP="00F033AF">
      <w:pPr>
        <w:pStyle w:val="Rubrik2"/>
        <w:ind w:right="140"/>
      </w:pPr>
      <w:r w:rsidRPr="002B7203">
        <w:t xml:space="preserve">Syfte </w:t>
      </w:r>
    </w:p>
    <w:p w14:paraId="583A707A" w14:textId="77777777" w:rsidR="002B7203" w:rsidRPr="002B7203" w:rsidRDefault="002B7203" w:rsidP="00F033AF">
      <w:pPr>
        <w:spacing w:after="0" w:line="240" w:lineRule="auto"/>
        <w:ind w:right="140"/>
        <w:rPr>
          <w:szCs w:val="20"/>
        </w:rPr>
      </w:pPr>
      <w:r w:rsidRPr="002B7203">
        <w:rPr>
          <w:szCs w:val="20"/>
        </w:rPr>
        <w:t>Att förbättra omhändertagande vid anafylaxi i samband med anestesi- och intensivvård</w:t>
      </w:r>
    </w:p>
    <w:p w14:paraId="54F9CB91" w14:textId="77777777" w:rsidR="002B7203" w:rsidRPr="002B7203" w:rsidRDefault="002B7203" w:rsidP="00F033AF">
      <w:pPr>
        <w:pStyle w:val="Rubrik2"/>
        <w:ind w:right="140"/>
      </w:pPr>
      <w:r w:rsidRPr="002B7203">
        <w:t>Berör</w:t>
      </w:r>
    </w:p>
    <w:p w14:paraId="0E034BF3" w14:textId="77777777" w:rsidR="002B7203" w:rsidRPr="002B7203" w:rsidRDefault="002B7203" w:rsidP="00F033AF">
      <w:pPr>
        <w:spacing w:after="0" w:line="240" w:lineRule="auto"/>
        <w:ind w:right="140"/>
        <w:rPr>
          <w:szCs w:val="20"/>
        </w:rPr>
      </w:pPr>
      <w:r w:rsidRPr="002B7203">
        <w:rPr>
          <w:szCs w:val="20"/>
        </w:rPr>
        <w:t>Anestesi- och intensivvårdsläkare samt anestesi- och intensivvårdssköterskor inom AnOpIVA.</w:t>
      </w:r>
    </w:p>
    <w:p w14:paraId="2F856DB0" w14:textId="77777777" w:rsidR="002B7203" w:rsidRPr="002B7203" w:rsidRDefault="002B7203" w:rsidP="00F033AF">
      <w:pPr>
        <w:spacing w:after="0" w:line="240" w:lineRule="auto"/>
        <w:ind w:right="140" w:hanging="315"/>
      </w:pPr>
    </w:p>
    <w:p w14:paraId="2CCDCC8F" w14:textId="77777777" w:rsidR="002B7203" w:rsidRPr="002B7203" w:rsidRDefault="002B7203" w:rsidP="00F033AF">
      <w:pPr>
        <w:pStyle w:val="Rubrik3"/>
        <w:ind w:right="140"/>
      </w:pPr>
      <w:r w:rsidRPr="002B7203">
        <w:t>Åtgärd vid anafylaxi under anestesi och intensivvård</w:t>
      </w:r>
    </w:p>
    <w:p w14:paraId="6E2D58B2" w14:textId="77777777" w:rsidR="002B7203" w:rsidRPr="002B7203" w:rsidRDefault="002B7203" w:rsidP="00F033AF">
      <w:pPr>
        <w:spacing w:after="0" w:line="240" w:lineRule="auto"/>
        <w:ind w:right="140"/>
        <w:rPr>
          <w:szCs w:val="20"/>
        </w:rPr>
      </w:pPr>
    </w:p>
    <w:p w14:paraId="5CB0A132" w14:textId="77777777" w:rsidR="002B7203" w:rsidRPr="002B7203" w:rsidRDefault="002B7203" w:rsidP="00F033AF">
      <w:pPr>
        <w:tabs>
          <w:tab w:val="left" w:pos="540"/>
        </w:tabs>
        <w:spacing w:after="0" w:line="240" w:lineRule="auto"/>
        <w:ind w:right="140"/>
      </w:pPr>
      <w:r w:rsidRPr="002B7203">
        <w:t>Behandling av anafylaxi under anestesi måste anpassas till situationen, patienten och de symptom som dominerar.</w:t>
      </w:r>
    </w:p>
    <w:p w14:paraId="7F24D0CE" w14:textId="77777777" w:rsidR="002B7203" w:rsidRPr="002B7203" w:rsidRDefault="002B7203" w:rsidP="00F033AF">
      <w:pPr>
        <w:tabs>
          <w:tab w:val="left" w:pos="540"/>
        </w:tabs>
        <w:spacing w:after="0" w:line="240" w:lineRule="auto"/>
        <w:ind w:right="140"/>
      </w:pPr>
    </w:p>
    <w:p w14:paraId="426B6047" w14:textId="77777777" w:rsidR="002B7203" w:rsidRPr="002B7203" w:rsidRDefault="002B7203" w:rsidP="00F033AF">
      <w:pPr>
        <w:pStyle w:val="Rubrik3"/>
        <w:ind w:right="140"/>
      </w:pPr>
      <w:r w:rsidRPr="002B7203">
        <w:t>Initial behandling</w:t>
      </w:r>
    </w:p>
    <w:p w14:paraId="2C595DEF" w14:textId="77777777" w:rsidR="002B7203" w:rsidRPr="002B7203" w:rsidRDefault="002B7203" w:rsidP="00F033AF">
      <w:pPr>
        <w:spacing w:after="0" w:line="240" w:lineRule="auto"/>
        <w:ind w:right="140"/>
        <w:rPr>
          <w:rFonts w:ascii="Arial" w:hAnsi="Arial" w:cs="Arial"/>
          <w:szCs w:val="20"/>
        </w:rPr>
      </w:pPr>
    </w:p>
    <w:p w14:paraId="7B756101" w14:textId="77777777" w:rsidR="002B7203" w:rsidRPr="002B7203" w:rsidRDefault="002B7203" w:rsidP="00F033AF">
      <w:pPr>
        <w:numPr>
          <w:ilvl w:val="0"/>
          <w:numId w:val="21"/>
        </w:numPr>
        <w:spacing w:after="0" w:line="240" w:lineRule="auto"/>
        <w:ind w:left="1418" w:right="140"/>
        <w:rPr>
          <w:rFonts w:ascii="Arial" w:hAnsi="Arial" w:cs="Arial"/>
          <w:szCs w:val="20"/>
        </w:rPr>
      </w:pPr>
      <w:r w:rsidRPr="002B7203">
        <w:rPr>
          <w:b/>
          <w:szCs w:val="20"/>
        </w:rPr>
        <w:t>Avsluta tillförsel av misstänkt orsakande substans!</w:t>
      </w:r>
    </w:p>
    <w:p w14:paraId="611752A1" w14:textId="77777777" w:rsidR="002B7203" w:rsidRPr="002B7203" w:rsidRDefault="002B7203" w:rsidP="00070AF1">
      <w:pPr>
        <w:spacing w:after="0" w:line="240" w:lineRule="auto"/>
        <w:ind w:left="1418" w:right="140"/>
        <w:rPr>
          <w:szCs w:val="20"/>
        </w:rPr>
      </w:pPr>
      <w:r w:rsidRPr="002B7203">
        <w:rPr>
          <w:szCs w:val="20"/>
        </w:rPr>
        <w:t>Avsluta om möjligt infusioner och blodtillförsel genast.</w:t>
      </w:r>
      <w:r w:rsidRPr="002B7203">
        <w:rPr>
          <w:szCs w:val="20"/>
        </w:rPr>
        <w:br/>
        <w:t>Överväg att höja patientens kroppstemperatur (vid misstanke om köldurtikaria).</w:t>
      </w:r>
    </w:p>
    <w:p w14:paraId="56C9E0A6" w14:textId="77777777" w:rsidR="002B7203" w:rsidRPr="002B7203" w:rsidRDefault="002B7203" w:rsidP="00070AF1">
      <w:pPr>
        <w:spacing w:after="0" w:line="240" w:lineRule="auto"/>
        <w:ind w:left="1418" w:right="140"/>
        <w:rPr>
          <w:rFonts w:ascii="Arial" w:hAnsi="Arial" w:cs="Arial"/>
          <w:szCs w:val="20"/>
        </w:rPr>
      </w:pPr>
    </w:p>
    <w:p w14:paraId="19BC2B4E" w14:textId="77777777" w:rsidR="002B7203" w:rsidRPr="002B7203" w:rsidRDefault="002B7203" w:rsidP="00F033AF">
      <w:pPr>
        <w:numPr>
          <w:ilvl w:val="0"/>
          <w:numId w:val="21"/>
        </w:numPr>
        <w:spacing w:after="0" w:line="240" w:lineRule="auto"/>
        <w:ind w:left="1418" w:right="140"/>
        <w:rPr>
          <w:rFonts w:ascii="Arial" w:hAnsi="Arial" w:cs="Arial"/>
          <w:szCs w:val="20"/>
        </w:rPr>
      </w:pPr>
      <w:r w:rsidRPr="002B7203">
        <w:rPr>
          <w:b/>
          <w:szCs w:val="20"/>
        </w:rPr>
        <w:t>Tillkalla hjälp</w:t>
      </w:r>
      <w:r w:rsidRPr="002B7203">
        <w:rPr>
          <w:szCs w:val="20"/>
        </w:rPr>
        <w:br/>
      </w:r>
    </w:p>
    <w:p w14:paraId="62D6117F" w14:textId="77777777" w:rsidR="002B7203" w:rsidRPr="002B7203" w:rsidRDefault="002B7203" w:rsidP="00F033AF">
      <w:pPr>
        <w:numPr>
          <w:ilvl w:val="0"/>
          <w:numId w:val="21"/>
        </w:numPr>
        <w:spacing w:after="0" w:line="240" w:lineRule="auto"/>
        <w:ind w:left="1418" w:right="140"/>
        <w:rPr>
          <w:b/>
          <w:szCs w:val="20"/>
        </w:rPr>
      </w:pPr>
      <w:r w:rsidRPr="002B7203">
        <w:rPr>
          <w:b/>
          <w:szCs w:val="20"/>
        </w:rPr>
        <w:t xml:space="preserve">Säkerställ luftväg och gasutbyte! Tillför 100 % oxygen! </w:t>
      </w:r>
    </w:p>
    <w:p w14:paraId="496A1DE3" w14:textId="77777777" w:rsidR="002B7203" w:rsidRPr="002B7203" w:rsidRDefault="002B7203" w:rsidP="00070AF1">
      <w:pPr>
        <w:spacing w:after="0" w:line="240" w:lineRule="auto"/>
        <w:ind w:left="1418" w:right="140"/>
        <w:rPr>
          <w:rFonts w:ascii="Arial" w:hAnsi="Arial" w:cs="Arial"/>
          <w:szCs w:val="20"/>
        </w:rPr>
      </w:pPr>
      <w:r w:rsidRPr="002B7203">
        <w:rPr>
          <w:b/>
          <w:szCs w:val="20"/>
        </w:rPr>
        <w:t>Höj benen! Underhåll eventuellt anestesin med lågdos inhalationsanestetika</w:t>
      </w:r>
      <w:r w:rsidRPr="002B7203">
        <w:rPr>
          <w:b/>
          <w:szCs w:val="20"/>
        </w:rPr>
        <w:br/>
      </w:r>
    </w:p>
    <w:p w14:paraId="070964C3" w14:textId="77777777" w:rsidR="002B7203" w:rsidRPr="002B7203" w:rsidRDefault="002B7203" w:rsidP="00F033AF">
      <w:pPr>
        <w:numPr>
          <w:ilvl w:val="0"/>
          <w:numId w:val="22"/>
        </w:numPr>
        <w:spacing w:after="0" w:line="240" w:lineRule="auto"/>
        <w:ind w:left="1418" w:right="140"/>
        <w:rPr>
          <w:rFonts w:ascii="Arial" w:hAnsi="Arial" w:cs="Arial"/>
          <w:szCs w:val="20"/>
        </w:rPr>
      </w:pPr>
      <w:r w:rsidRPr="002B7203">
        <w:rPr>
          <w:b/>
          <w:szCs w:val="20"/>
        </w:rPr>
        <w:t>Informera operatören och medarbetare!</w:t>
      </w:r>
      <w:r w:rsidRPr="002B7203">
        <w:rPr>
          <w:b/>
          <w:szCs w:val="20"/>
        </w:rPr>
        <w:br/>
      </w:r>
      <w:r w:rsidRPr="002B7203">
        <w:rPr>
          <w:szCs w:val="20"/>
        </w:rPr>
        <w:t>Beroende på situationen: ställ in, förenkla, snabba på eller avsluta operationen.</w:t>
      </w:r>
      <w:r w:rsidRPr="002B7203">
        <w:rPr>
          <w:szCs w:val="20"/>
        </w:rPr>
        <w:br/>
      </w:r>
    </w:p>
    <w:p w14:paraId="0E6B3169" w14:textId="3C12ED96" w:rsidR="002B7203" w:rsidRPr="002B7203" w:rsidRDefault="002B7203" w:rsidP="00F033AF">
      <w:pPr>
        <w:numPr>
          <w:ilvl w:val="0"/>
          <w:numId w:val="22"/>
        </w:numPr>
        <w:spacing w:after="0" w:line="240" w:lineRule="auto"/>
        <w:ind w:left="1418" w:right="140"/>
        <w:rPr>
          <w:szCs w:val="20"/>
        </w:rPr>
      </w:pPr>
      <w:r w:rsidRPr="002B7203">
        <w:rPr>
          <w:b/>
          <w:szCs w:val="20"/>
        </w:rPr>
        <w:lastRenderedPageBreak/>
        <w:t>Ge adrenalin!</w:t>
      </w:r>
      <w:r w:rsidRPr="002B7203">
        <w:rPr>
          <w:b/>
          <w:szCs w:val="20"/>
        </w:rPr>
        <w:br/>
      </w:r>
      <w:r w:rsidRPr="002B7203">
        <w:rPr>
          <w:szCs w:val="20"/>
        </w:rPr>
        <w:t>Ge adrenalin 50-100 µg intravenöst. Upprepade bolusdoser kan titreras ytterligare en gång/min tills tillräcklig effekt nås. (Ofta varje till varannan minut).</w:t>
      </w:r>
      <w:r w:rsidRPr="002B7203">
        <w:rPr>
          <w:szCs w:val="20"/>
        </w:rPr>
        <w:br/>
        <w:t xml:space="preserve">Alternativt kan adrenalin 0,5-1 mg ges intramuskulärt. Doseringsintervall </w:t>
      </w:r>
      <w:r w:rsidRPr="002B7203">
        <w:rPr>
          <w:szCs w:val="20"/>
        </w:rPr>
        <w:br/>
        <w:t>5-10 minuter.</w:t>
      </w:r>
      <w:r w:rsidRPr="002B7203">
        <w:rPr>
          <w:szCs w:val="20"/>
        </w:rPr>
        <w:br/>
        <w:t>Trakeal tillförsel av adrenalin kan övervägas om intravenös tillgång ej är möjlig. Observera 2-3 gånger högre dos jämfört med intravenös dosering.</w:t>
      </w:r>
    </w:p>
    <w:p w14:paraId="41532ED5" w14:textId="77777777" w:rsidR="002B7203" w:rsidRPr="002B7203" w:rsidRDefault="002B7203" w:rsidP="00F033AF">
      <w:pPr>
        <w:spacing w:after="0" w:line="240" w:lineRule="auto"/>
        <w:ind w:right="140"/>
        <w:rPr>
          <w:szCs w:val="20"/>
        </w:rPr>
      </w:pPr>
    </w:p>
    <w:p w14:paraId="2F38893B" w14:textId="77777777" w:rsidR="002B7203" w:rsidRPr="002B7203" w:rsidRDefault="002B7203" w:rsidP="0050167D">
      <w:pPr>
        <w:numPr>
          <w:ilvl w:val="0"/>
          <w:numId w:val="22"/>
        </w:numPr>
        <w:spacing w:after="0" w:line="240" w:lineRule="auto"/>
        <w:ind w:left="1418" w:right="140"/>
        <w:rPr>
          <w:b/>
          <w:szCs w:val="20"/>
        </w:rPr>
      </w:pPr>
      <w:r w:rsidRPr="002B7203">
        <w:rPr>
          <w:b/>
          <w:szCs w:val="20"/>
        </w:rPr>
        <w:t>Överväg kontinuerlig infusion av adrenalin vid de svåraste reaktionerna</w:t>
      </w:r>
    </w:p>
    <w:p w14:paraId="26F56CD5" w14:textId="77777777" w:rsidR="002B7203" w:rsidRPr="002B7203" w:rsidRDefault="002B7203" w:rsidP="0050167D">
      <w:pPr>
        <w:numPr>
          <w:ilvl w:val="0"/>
          <w:numId w:val="22"/>
        </w:numPr>
        <w:spacing w:after="0" w:line="240" w:lineRule="auto"/>
        <w:ind w:left="1418" w:right="140"/>
        <w:rPr>
          <w:b/>
          <w:szCs w:val="20"/>
        </w:rPr>
      </w:pPr>
      <w:r w:rsidRPr="002B7203">
        <w:rPr>
          <w:b/>
          <w:szCs w:val="20"/>
        </w:rPr>
        <w:t>Ge vätska i form av kristalloider eller kolloider och upprepa vid behov.</w:t>
      </w:r>
    </w:p>
    <w:p w14:paraId="305CFD66" w14:textId="77777777" w:rsidR="002B7203" w:rsidRPr="002B7203" w:rsidRDefault="002B7203" w:rsidP="0050167D">
      <w:pPr>
        <w:spacing w:after="0" w:line="240" w:lineRule="auto"/>
        <w:ind w:left="1418" w:right="140"/>
        <w:rPr>
          <w:b/>
          <w:szCs w:val="20"/>
        </w:rPr>
      </w:pPr>
    </w:p>
    <w:p w14:paraId="7A71F99C" w14:textId="77777777" w:rsidR="002B7203" w:rsidRPr="002B7203" w:rsidRDefault="002B7203" w:rsidP="0050167D">
      <w:pPr>
        <w:numPr>
          <w:ilvl w:val="0"/>
          <w:numId w:val="22"/>
        </w:numPr>
        <w:spacing w:after="0" w:line="240" w:lineRule="auto"/>
        <w:ind w:left="1418" w:right="140"/>
        <w:rPr>
          <w:rFonts w:ascii="TimesNewRomanPSMT" w:hAnsi="TimesNewRomanPSMT" w:cs="TimesNewRomanPSMT"/>
          <w:color w:val="000000"/>
          <w:szCs w:val="20"/>
        </w:rPr>
      </w:pPr>
      <w:r w:rsidRPr="002B7203">
        <w:rPr>
          <w:rFonts w:ascii="TimesNewRomanPSMT" w:hAnsi="TimesNewRomanPSMT" w:cs="TimesNewRomanPSMT"/>
          <w:color w:val="000000"/>
          <w:szCs w:val="20"/>
        </w:rPr>
        <w:t>Om tillståndet är katekolaminrefraktärt kan vasopressin, metylenblått och glukagon (till patient som står på betablockad) vara effektivt –</w:t>
      </w:r>
    </w:p>
    <w:p w14:paraId="0181C16C" w14:textId="671035A9" w:rsidR="002B7203" w:rsidRPr="002B7203" w:rsidRDefault="002B7203" w:rsidP="0050167D">
      <w:pPr>
        <w:spacing w:after="0" w:line="240" w:lineRule="auto"/>
        <w:ind w:left="1418" w:right="140"/>
        <w:rPr>
          <w:rFonts w:ascii="TimesNewRomanPSMT" w:hAnsi="TimesNewRomanPSMT" w:cs="TimesNewRomanPSMT"/>
          <w:color w:val="000000"/>
          <w:szCs w:val="20"/>
        </w:rPr>
      </w:pPr>
      <w:r w:rsidRPr="002B7203">
        <w:rPr>
          <w:rFonts w:ascii="TimesNewRomanPSMT" w:hAnsi="TimesNewRomanPSMT" w:cs="TimesNewRomanPSMT"/>
          <w:color w:val="000000"/>
          <w:szCs w:val="20"/>
        </w:rPr>
        <w:t>Överväg även annan diagnos!</w:t>
      </w:r>
    </w:p>
    <w:p w14:paraId="69E60780" w14:textId="77777777" w:rsidR="002B7203" w:rsidRPr="002B7203" w:rsidRDefault="002B7203" w:rsidP="0050167D">
      <w:pPr>
        <w:spacing w:after="0" w:line="240" w:lineRule="auto"/>
        <w:ind w:left="1418" w:right="140"/>
        <w:rPr>
          <w:rFonts w:ascii="TimesNewRomanPSMT" w:hAnsi="TimesNewRomanPSMT" w:cs="TimesNewRomanPSMT"/>
          <w:color w:val="000000"/>
          <w:szCs w:val="20"/>
        </w:rPr>
      </w:pPr>
    </w:p>
    <w:p w14:paraId="6C98C0DD" w14:textId="650F3032" w:rsidR="002B7203" w:rsidRPr="00F033AF" w:rsidRDefault="002B7203" w:rsidP="0050167D">
      <w:pPr>
        <w:numPr>
          <w:ilvl w:val="0"/>
          <w:numId w:val="22"/>
        </w:numPr>
        <w:spacing w:after="0" w:line="240" w:lineRule="auto"/>
        <w:ind w:left="1418" w:right="140"/>
        <w:rPr>
          <w:rFonts w:ascii="TimesNewRomanPSMT" w:hAnsi="TimesNewRomanPSMT" w:cs="TimesNewRomanPSMT"/>
          <w:color w:val="000000"/>
          <w:szCs w:val="20"/>
        </w:rPr>
      </w:pPr>
      <w:r w:rsidRPr="002B7203">
        <w:rPr>
          <w:rFonts w:ascii="TimesNewRomanPSMT" w:hAnsi="TimesNewRomanPSMT" w:cs="TimesNewRomanPSMT"/>
          <w:color w:val="000000"/>
          <w:szCs w:val="20"/>
        </w:rPr>
        <w:t>Vid hjärtstillestånd: Följ HLR-riktlinjer</w:t>
      </w:r>
      <w:r w:rsidRPr="002B7203">
        <w:rPr>
          <w:szCs w:val="20"/>
        </w:rPr>
        <w:br/>
      </w:r>
    </w:p>
    <w:p w14:paraId="3B2BCB75" w14:textId="77777777" w:rsidR="002B7203" w:rsidRDefault="002B7203" w:rsidP="00F033AF">
      <w:pPr>
        <w:spacing w:after="0" w:line="240" w:lineRule="auto"/>
        <w:ind w:right="140"/>
        <w:rPr>
          <w:szCs w:val="20"/>
        </w:rPr>
      </w:pPr>
      <w:r w:rsidRPr="002B7203">
        <w:rPr>
          <w:szCs w:val="20"/>
        </w:rPr>
        <w:t>Inom pediatrisk verksamhet ges adrenalin enligt följande:</w:t>
      </w:r>
    </w:p>
    <w:p w14:paraId="783D9150" w14:textId="77777777" w:rsidR="00B85B0F" w:rsidRPr="002B7203" w:rsidRDefault="00B85B0F" w:rsidP="00F033AF">
      <w:pPr>
        <w:spacing w:after="0" w:line="240" w:lineRule="auto"/>
        <w:ind w:right="140"/>
        <w:rPr>
          <w:szCs w:val="20"/>
        </w:rPr>
      </w:pPr>
    </w:p>
    <w:p w14:paraId="1A291402" w14:textId="2909F8CA" w:rsidR="002B7203" w:rsidRPr="00B85B0F" w:rsidRDefault="00B85B0F" w:rsidP="00B85B0F">
      <w:pPr>
        <w:tabs>
          <w:tab w:val="left" w:pos="4500"/>
          <w:tab w:val="left" w:pos="6840"/>
        </w:tabs>
        <w:spacing w:after="0" w:line="240" w:lineRule="auto"/>
        <w:ind w:left="0" w:right="140"/>
        <w:rPr>
          <w:b/>
          <w:bCs/>
          <w:szCs w:val="20"/>
        </w:rPr>
      </w:pPr>
      <w:r w:rsidRPr="00B85B0F">
        <w:rPr>
          <w:b/>
          <w:bCs/>
          <w:szCs w:val="20"/>
        </w:rPr>
        <w:t xml:space="preserve">               </w:t>
      </w:r>
      <w:r w:rsidR="002B7203" w:rsidRPr="00B85B0F">
        <w:rPr>
          <w:b/>
          <w:bCs/>
          <w:szCs w:val="20"/>
        </w:rPr>
        <w:t xml:space="preserve"> Intramuskulärt</w:t>
      </w:r>
      <w:r w:rsidR="002B7203" w:rsidRPr="00B85B0F">
        <w:rPr>
          <w:b/>
          <w:bCs/>
          <w:szCs w:val="20"/>
        </w:rPr>
        <w:tab/>
        <w:t>Intravenöst</w:t>
      </w:r>
    </w:p>
    <w:p w14:paraId="34F155A9" w14:textId="77777777" w:rsidR="002B7203" w:rsidRPr="002B7203" w:rsidRDefault="002B7203" w:rsidP="00F033AF">
      <w:pPr>
        <w:tabs>
          <w:tab w:val="right" w:pos="2880"/>
          <w:tab w:val="right" w:pos="5580"/>
          <w:tab w:val="right" w:pos="7920"/>
        </w:tabs>
        <w:spacing w:after="0" w:line="240" w:lineRule="auto"/>
        <w:ind w:right="140"/>
        <w:rPr>
          <w:szCs w:val="20"/>
        </w:rPr>
      </w:pPr>
      <w:r w:rsidRPr="002B7203">
        <w:rPr>
          <w:szCs w:val="20"/>
        </w:rPr>
        <w:t>&lt; 6 mån</w:t>
      </w:r>
      <w:r w:rsidRPr="002B7203">
        <w:rPr>
          <w:szCs w:val="20"/>
        </w:rPr>
        <w:tab/>
        <w:t>50 µg</w:t>
      </w:r>
      <w:r w:rsidRPr="002B7203">
        <w:rPr>
          <w:szCs w:val="20"/>
        </w:rPr>
        <w:tab/>
        <w:t>5-10 µg/kg</w:t>
      </w:r>
    </w:p>
    <w:p w14:paraId="2970126E" w14:textId="77777777" w:rsidR="002B7203" w:rsidRPr="002B7203" w:rsidRDefault="002B7203" w:rsidP="00F033AF">
      <w:pPr>
        <w:tabs>
          <w:tab w:val="right" w:pos="2880"/>
          <w:tab w:val="right" w:pos="5580"/>
          <w:tab w:val="right" w:pos="7920"/>
        </w:tabs>
        <w:spacing w:after="0" w:line="240" w:lineRule="auto"/>
        <w:ind w:right="140"/>
        <w:rPr>
          <w:szCs w:val="20"/>
        </w:rPr>
      </w:pPr>
      <w:r w:rsidRPr="002B7203">
        <w:rPr>
          <w:szCs w:val="20"/>
        </w:rPr>
        <w:t>6 mån – 6 år</w:t>
      </w:r>
      <w:r w:rsidRPr="002B7203">
        <w:rPr>
          <w:szCs w:val="20"/>
        </w:rPr>
        <w:tab/>
        <w:t>120 µg</w:t>
      </w:r>
      <w:r w:rsidRPr="002B7203">
        <w:rPr>
          <w:szCs w:val="20"/>
        </w:rPr>
        <w:tab/>
        <w:t>5-10 µg/kg</w:t>
      </w:r>
    </w:p>
    <w:p w14:paraId="4B7FDE3A" w14:textId="77777777" w:rsidR="002B7203" w:rsidRPr="002B7203" w:rsidRDefault="002B7203" w:rsidP="00F033AF">
      <w:pPr>
        <w:tabs>
          <w:tab w:val="right" w:pos="2880"/>
          <w:tab w:val="right" w:pos="5580"/>
          <w:tab w:val="right" w:pos="7920"/>
        </w:tabs>
        <w:spacing w:after="0" w:line="240" w:lineRule="auto"/>
        <w:ind w:right="140"/>
        <w:rPr>
          <w:szCs w:val="20"/>
        </w:rPr>
      </w:pPr>
      <w:r w:rsidRPr="002B7203">
        <w:rPr>
          <w:szCs w:val="20"/>
        </w:rPr>
        <w:t>6 – 12 år</w:t>
      </w:r>
      <w:r w:rsidRPr="002B7203">
        <w:rPr>
          <w:szCs w:val="20"/>
        </w:rPr>
        <w:tab/>
        <w:t>250 µg</w:t>
      </w:r>
      <w:r w:rsidRPr="002B7203">
        <w:rPr>
          <w:szCs w:val="20"/>
        </w:rPr>
        <w:tab/>
        <w:t>5-10 µg/kg</w:t>
      </w:r>
    </w:p>
    <w:p w14:paraId="037D2FDD" w14:textId="77777777" w:rsidR="002B7203" w:rsidRPr="002B7203" w:rsidRDefault="002B7203" w:rsidP="00F033AF">
      <w:pPr>
        <w:tabs>
          <w:tab w:val="right" w:pos="2880"/>
          <w:tab w:val="right" w:pos="5580"/>
          <w:tab w:val="right" w:pos="7920"/>
        </w:tabs>
        <w:spacing w:after="0" w:line="240" w:lineRule="auto"/>
        <w:ind w:right="140"/>
        <w:rPr>
          <w:szCs w:val="20"/>
        </w:rPr>
      </w:pPr>
      <w:r w:rsidRPr="002B7203">
        <w:rPr>
          <w:szCs w:val="20"/>
        </w:rPr>
        <w:t>&gt; 12 år</w:t>
      </w:r>
      <w:r w:rsidRPr="002B7203">
        <w:rPr>
          <w:szCs w:val="20"/>
        </w:rPr>
        <w:tab/>
        <w:t>500 µg</w:t>
      </w:r>
      <w:r w:rsidRPr="002B7203">
        <w:rPr>
          <w:szCs w:val="20"/>
        </w:rPr>
        <w:tab/>
        <w:t>5-10 µg/kg</w:t>
      </w:r>
    </w:p>
    <w:p w14:paraId="74A1EE20" w14:textId="77777777" w:rsidR="002B7203" w:rsidRPr="002B7203" w:rsidRDefault="002B7203" w:rsidP="00F033AF">
      <w:pPr>
        <w:tabs>
          <w:tab w:val="right" w:pos="5580"/>
          <w:tab w:val="right" w:pos="7920"/>
        </w:tabs>
        <w:spacing w:after="0" w:line="240" w:lineRule="auto"/>
        <w:ind w:right="140"/>
        <w:rPr>
          <w:szCs w:val="20"/>
        </w:rPr>
      </w:pPr>
    </w:p>
    <w:p w14:paraId="43B3D563" w14:textId="77777777" w:rsidR="002B7203" w:rsidRPr="002B7203" w:rsidRDefault="002B7203" w:rsidP="00F033AF">
      <w:pPr>
        <w:pStyle w:val="Rubrik2"/>
        <w:ind w:right="140"/>
        <w:rPr>
          <w:u w:val="single"/>
        </w:rPr>
      </w:pPr>
      <w:r w:rsidRPr="002B7203">
        <w:t>Fortsatt behandling</w:t>
      </w:r>
    </w:p>
    <w:p w14:paraId="650E14A0" w14:textId="174F99C1" w:rsidR="002B7203" w:rsidRPr="002B7203" w:rsidRDefault="002B7203" w:rsidP="006D3328">
      <w:pPr>
        <w:spacing w:after="0" w:line="240" w:lineRule="auto"/>
        <w:ind w:right="140"/>
        <w:rPr>
          <w:szCs w:val="20"/>
        </w:rPr>
      </w:pPr>
      <w:r w:rsidRPr="002B7203">
        <w:rPr>
          <w:szCs w:val="20"/>
        </w:rPr>
        <w:t>Påbörja snabb intravenös infusion av Ringeracetat eller fysiologisk Natriumkloridlösning.</w:t>
      </w:r>
    </w:p>
    <w:p w14:paraId="683A30EA" w14:textId="77777777" w:rsidR="002B7203" w:rsidRDefault="002B7203" w:rsidP="00A732D1">
      <w:pPr>
        <w:numPr>
          <w:ilvl w:val="0"/>
          <w:numId w:val="20"/>
        </w:numPr>
        <w:tabs>
          <w:tab w:val="clear" w:pos="926"/>
        </w:tabs>
        <w:spacing w:after="0" w:line="240" w:lineRule="auto"/>
        <w:ind w:left="851" w:right="140" w:firstLine="0"/>
        <w:rPr>
          <w:szCs w:val="20"/>
        </w:rPr>
      </w:pPr>
      <w:r w:rsidRPr="002B7203">
        <w:rPr>
          <w:szCs w:val="20"/>
        </w:rPr>
        <w:t>Gravida (&gt;20 veckor) skall placeras i vänster sidoläge.</w:t>
      </w:r>
    </w:p>
    <w:p w14:paraId="1B736557" w14:textId="70874A35" w:rsidR="002B7203" w:rsidRPr="002B7203" w:rsidRDefault="002B7203" w:rsidP="00A732D1">
      <w:pPr>
        <w:pStyle w:val="Strecklista"/>
        <w:tabs>
          <w:tab w:val="clear" w:pos="926"/>
        </w:tabs>
        <w:ind w:left="1276" w:hanging="425"/>
      </w:pPr>
      <w:r w:rsidRPr="002B7203">
        <w:t>Patienter som har behandlats med β-blockerare kan behöva större doser samt</w:t>
      </w:r>
      <w:r w:rsidR="006D3328">
        <w:t xml:space="preserve"> </w:t>
      </w:r>
      <w:r w:rsidR="006D3328" w:rsidRPr="002B7203">
        <w:t>glukagon intravenöst.</w:t>
      </w:r>
      <w:r w:rsidRPr="002B7203">
        <w:t xml:space="preserve"> </w:t>
      </w:r>
      <w:r w:rsidR="006D3328">
        <w:t xml:space="preserve">    </w:t>
      </w:r>
    </w:p>
    <w:p w14:paraId="35037666" w14:textId="77777777" w:rsidR="002B7203" w:rsidRPr="002B7203" w:rsidRDefault="002B7203" w:rsidP="00A732D1">
      <w:pPr>
        <w:spacing w:after="0" w:line="240" w:lineRule="auto"/>
        <w:ind w:right="140"/>
        <w:rPr>
          <w:sz w:val="28"/>
          <w:szCs w:val="28"/>
        </w:rPr>
      </w:pPr>
    </w:p>
    <w:p w14:paraId="60E1FEF2" w14:textId="77777777" w:rsidR="002B7203" w:rsidRPr="002B7203" w:rsidRDefault="002B7203" w:rsidP="00F033AF">
      <w:pPr>
        <w:pStyle w:val="Rubrik3"/>
        <w:ind w:right="140"/>
        <w:rPr>
          <w:u w:val="single"/>
        </w:rPr>
      </w:pPr>
      <w:r w:rsidRPr="002B7203">
        <w:t>Sekundär behandling</w:t>
      </w:r>
    </w:p>
    <w:p w14:paraId="58FE6639" w14:textId="77777777" w:rsidR="002B7203" w:rsidRPr="002B7203" w:rsidRDefault="002B7203" w:rsidP="00A732D1">
      <w:pPr>
        <w:spacing w:after="0" w:line="240" w:lineRule="auto"/>
        <w:ind w:right="140"/>
        <w:rPr>
          <w:szCs w:val="20"/>
        </w:rPr>
      </w:pPr>
    </w:p>
    <w:p w14:paraId="32A49085" w14:textId="77777777" w:rsidR="002B7203" w:rsidRPr="002B7203" w:rsidRDefault="002B7203" w:rsidP="00F033AF">
      <w:pPr>
        <w:numPr>
          <w:ilvl w:val="0"/>
          <w:numId w:val="20"/>
        </w:numPr>
        <w:spacing w:after="0" w:line="240" w:lineRule="auto"/>
        <w:ind w:left="992" w:right="140" w:firstLine="0"/>
        <w:rPr>
          <w:szCs w:val="20"/>
        </w:rPr>
      </w:pPr>
      <w:r w:rsidRPr="002B7203">
        <w:rPr>
          <w:b/>
          <w:szCs w:val="20"/>
        </w:rPr>
        <w:t>Kortiokosteroider</w:t>
      </w:r>
      <w:r w:rsidRPr="002B7203">
        <w:rPr>
          <w:b/>
          <w:szCs w:val="20"/>
        </w:rPr>
        <w:br/>
      </w:r>
      <w:r w:rsidRPr="002B7203">
        <w:rPr>
          <w:szCs w:val="20"/>
        </w:rPr>
        <w:t>Ev kan 100-200 mg SoluCortef® ges intravenöst (till barn 50 – 100 mg intravenöst beroende på vikt). Rollen oklar vid anafylaxi, främst pga den långa tillslagstiden. Bifasiskt förlopp borde mildras. Optimal dos är oklar.</w:t>
      </w:r>
      <w:r w:rsidRPr="002B7203">
        <w:rPr>
          <w:szCs w:val="20"/>
        </w:rPr>
        <w:br/>
      </w:r>
    </w:p>
    <w:p w14:paraId="6E4902CC" w14:textId="77777777" w:rsidR="002B7203" w:rsidRPr="002B7203" w:rsidRDefault="002B7203" w:rsidP="00F033AF">
      <w:pPr>
        <w:numPr>
          <w:ilvl w:val="0"/>
          <w:numId w:val="20"/>
        </w:numPr>
        <w:spacing w:after="0" w:line="240" w:lineRule="auto"/>
        <w:ind w:left="992" w:right="140" w:firstLine="0"/>
        <w:rPr>
          <w:szCs w:val="20"/>
        </w:rPr>
      </w:pPr>
      <w:r w:rsidRPr="002B7203">
        <w:rPr>
          <w:b/>
          <w:szCs w:val="20"/>
        </w:rPr>
        <w:t>β-stimulerare</w:t>
      </w:r>
      <w:r w:rsidRPr="002B7203">
        <w:rPr>
          <w:b/>
          <w:szCs w:val="20"/>
        </w:rPr>
        <w:br/>
      </w:r>
      <w:r w:rsidRPr="002B7203">
        <w:rPr>
          <w:szCs w:val="20"/>
        </w:rPr>
        <w:t>Vid svårbehandlad bronkospasm kan β</w:t>
      </w:r>
      <w:r w:rsidRPr="002B7203">
        <w:rPr>
          <w:szCs w:val="20"/>
          <w:vertAlign w:val="subscript"/>
        </w:rPr>
        <w:t>2</w:t>
      </w:r>
      <w:r w:rsidRPr="002B7203">
        <w:rPr>
          <w:szCs w:val="20"/>
        </w:rPr>
        <w:t>-stimulerare prövas som inhalation, direkt i trakealtuben eller intravenöst.</w:t>
      </w:r>
      <w:r w:rsidRPr="002B7203">
        <w:rPr>
          <w:szCs w:val="20"/>
        </w:rPr>
        <w:br/>
      </w:r>
    </w:p>
    <w:p w14:paraId="6D822983" w14:textId="4B1CE6AC" w:rsidR="002B7203" w:rsidRPr="004700B9" w:rsidRDefault="002B7203" w:rsidP="00CA08EB">
      <w:pPr>
        <w:numPr>
          <w:ilvl w:val="0"/>
          <w:numId w:val="20"/>
        </w:numPr>
        <w:spacing w:after="0" w:line="240" w:lineRule="auto"/>
        <w:ind w:left="992" w:right="140" w:firstLine="0"/>
        <w:rPr>
          <w:sz w:val="28"/>
          <w:szCs w:val="28"/>
        </w:rPr>
      </w:pPr>
      <w:r w:rsidRPr="004700B9">
        <w:rPr>
          <w:b/>
          <w:szCs w:val="20"/>
        </w:rPr>
        <w:t>H</w:t>
      </w:r>
      <w:r w:rsidRPr="004700B9">
        <w:rPr>
          <w:b/>
          <w:szCs w:val="20"/>
          <w:vertAlign w:val="subscript"/>
        </w:rPr>
        <w:t>1</w:t>
      </w:r>
      <w:r w:rsidRPr="004700B9">
        <w:rPr>
          <w:b/>
          <w:szCs w:val="20"/>
        </w:rPr>
        <w:t>-blockerare</w:t>
      </w:r>
      <w:r w:rsidRPr="004700B9">
        <w:rPr>
          <w:b/>
          <w:szCs w:val="20"/>
        </w:rPr>
        <w:br/>
      </w:r>
      <w:r w:rsidRPr="004700B9">
        <w:rPr>
          <w:szCs w:val="20"/>
        </w:rPr>
        <w:t>Tavegyl 1 mg/ml, 2 ml ges långsamt intravenöst.</w:t>
      </w:r>
    </w:p>
    <w:p w14:paraId="357F8A78" w14:textId="77777777" w:rsidR="002B7203" w:rsidRPr="002B7203" w:rsidRDefault="002B7203" w:rsidP="00A732D1">
      <w:pPr>
        <w:pStyle w:val="Rubrik2"/>
      </w:pPr>
      <w:r w:rsidRPr="002B7203">
        <w:br w:type="page"/>
      </w:r>
      <w:r w:rsidRPr="002B7203">
        <w:lastRenderedPageBreak/>
        <w:t xml:space="preserve">Utredning av </w:t>
      </w:r>
      <w:r w:rsidRPr="00A732D1">
        <w:t>överkänslighetsreaktion</w:t>
      </w:r>
      <w:r w:rsidRPr="002B7203">
        <w:t xml:space="preserve"> i samband med anestesi- och intensivvård </w:t>
      </w:r>
    </w:p>
    <w:p w14:paraId="78EFDC28" w14:textId="77777777" w:rsidR="002B7203" w:rsidRPr="002B7203" w:rsidRDefault="002B7203" w:rsidP="00F033AF">
      <w:pPr>
        <w:spacing w:after="0" w:line="240" w:lineRule="auto"/>
        <w:ind w:right="140"/>
        <w:rPr>
          <w:szCs w:val="20"/>
        </w:rPr>
      </w:pPr>
    </w:p>
    <w:p w14:paraId="24DDDE13" w14:textId="77777777" w:rsidR="002B7203" w:rsidRPr="002B7203" w:rsidRDefault="002B7203" w:rsidP="00F033AF">
      <w:pPr>
        <w:autoSpaceDE w:val="0"/>
        <w:autoSpaceDN w:val="0"/>
        <w:adjustRightInd w:val="0"/>
        <w:spacing w:after="0" w:line="240" w:lineRule="auto"/>
        <w:ind w:right="140"/>
        <w:rPr>
          <w:rFonts w:ascii="TimesNewRomanPSMT" w:hAnsi="TimesNewRomanPSMT" w:cs="TimesNewRomanPSMT"/>
          <w:color w:val="000000"/>
          <w:szCs w:val="20"/>
        </w:rPr>
      </w:pPr>
      <w:r w:rsidRPr="002B7203">
        <w:rPr>
          <w:rFonts w:ascii="TimesNewRomanPSMT" w:hAnsi="TimesNewRomanPSMT" w:cs="TimesNewRomanPSMT"/>
          <w:color w:val="000000"/>
          <w:szCs w:val="20"/>
        </w:rPr>
        <w:t>En allergologisk utredning ska göras vid anafylaxi och i först hand bör ansvarig anestesiolog utfärda remissen. Remiss skickas till allergimottagning NÄL.</w:t>
      </w:r>
    </w:p>
    <w:p w14:paraId="6E9D35F9" w14:textId="77777777" w:rsidR="002B7203" w:rsidRPr="002B7203" w:rsidRDefault="002B7203" w:rsidP="00F033AF">
      <w:pPr>
        <w:autoSpaceDE w:val="0"/>
        <w:autoSpaceDN w:val="0"/>
        <w:adjustRightInd w:val="0"/>
        <w:spacing w:after="0" w:line="240" w:lineRule="auto"/>
        <w:ind w:right="140"/>
        <w:rPr>
          <w:rFonts w:ascii="TimesNewRomanPSMT" w:hAnsi="TimesNewRomanPSMT" w:cs="TimesNewRomanPSMT"/>
          <w:color w:val="000000"/>
          <w:szCs w:val="20"/>
        </w:rPr>
      </w:pPr>
      <w:r w:rsidRPr="002B7203">
        <w:rPr>
          <w:rFonts w:ascii="TimesNewRomanPSMT" w:hAnsi="TimesNewRomanPSMT" w:cs="TimesNewRomanPSMT"/>
          <w:color w:val="000000"/>
          <w:szCs w:val="20"/>
        </w:rPr>
        <w:t xml:space="preserve">Blodprov för analys av tryptas och IgE-antikroppar bör tas enligt lokala riktlinjer. </w:t>
      </w:r>
    </w:p>
    <w:p w14:paraId="202C7EB4" w14:textId="77777777" w:rsidR="002B7203" w:rsidRPr="002B7203" w:rsidRDefault="002B7203" w:rsidP="00F033AF">
      <w:pPr>
        <w:autoSpaceDE w:val="0"/>
        <w:autoSpaceDN w:val="0"/>
        <w:adjustRightInd w:val="0"/>
        <w:spacing w:after="0" w:line="240" w:lineRule="auto"/>
        <w:ind w:right="140"/>
        <w:rPr>
          <w:rFonts w:ascii="TimesNewRomanPSMT" w:hAnsi="TimesNewRomanPSMT" w:cs="TimesNewRomanPSMT"/>
          <w:color w:val="000000"/>
          <w:szCs w:val="20"/>
        </w:rPr>
      </w:pPr>
    </w:p>
    <w:p w14:paraId="660592EF" w14:textId="77777777" w:rsidR="002B7203" w:rsidRPr="002B7203" w:rsidRDefault="002B7203" w:rsidP="00F033AF">
      <w:pPr>
        <w:autoSpaceDE w:val="0"/>
        <w:autoSpaceDN w:val="0"/>
        <w:adjustRightInd w:val="0"/>
        <w:spacing w:after="0" w:line="240" w:lineRule="auto"/>
        <w:ind w:right="140"/>
        <w:rPr>
          <w:rFonts w:ascii="TimesNewRomanPSMT" w:hAnsi="TimesNewRomanPSMT" w:cs="TimesNewRomanPSMT"/>
          <w:color w:val="000000"/>
          <w:szCs w:val="20"/>
        </w:rPr>
      </w:pPr>
      <w:r w:rsidRPr="002B7203">
        <w:rPr>
          <w:rFonts w:ascii="TimesNewRomanPSMT" w:hAnsi="TimesNewRomanPSMT" w:cs="TimesNewRomanPSMT"/>
          <w:color w:val="000000"/>
          <w:szCs w:val="20"/>
        </w:rPr>
        <w:t xml:space="preserve">Riktlinjer finns på SFAIs hemsida </w:t>
      </w:r>
      <w:hyperlink r:id="rId18" w:history="1">
        <w:r w:rsidRPr="002B7203">
          <w:rPr>
            <w:rFonts w:ascii="ArialMT" w:hAnsi="ArialMT" w:cs="ArialMT"/>
            <w:color w:val="0000FF"/>
            <w:szCs w:val="20"/>
            <w:u w:val="single"/>
          </w:rPr>
          <w:t>www.sfai.se/riktlinjer/anafylaktisk-reaktion-under-anestesi</w:t>
        </w:r>
      </w:hyperlink>
      <w:r w:rsidRPr="002B7203">
        <w:rPr>
          <w:rFonts w:ascii="TimesNewRomanPSMT" w:hAnsi="TimesNewRomanPSMT" w:cs="TimesNewRomanPSMT"/>
          <w:color w:val="000000"/>
          <w:szCs w:val="20"/>
        </w:rPr>
        <w:t>.</w:t>
      </w:r>
    </w:p>
    <w:p w14:paraId="7EE2C8F7" w14:textId="77777777" w:rsidR="002B7203" w:rsidRPr="002B7203" w:rsidRDefault="002B7203" w:rsidP="00F033AF">
      <w:pPr>
        <w:autoSpaceDE w:val="0"/>
        <w:autoSpaceDN w:val="0"/>
        <w:adjustRightInd w:val="0"/>
        <w:spacing w:after="0" w:line="240" w:lineRule="auto"/>
        <w:ind w:right="140"/>
        <w:rPr>
          <w:rFonts w:ascii="TimesNewRomanPSMT" w:hAnsi="TimesNewRomanPSMT" w:cs="TimesNewRomanPSMT"/>
          <w:color w:val="000000"/>
          <w:szCs w:val="20"/>
        </w:rPr>
      </w:pPr>
    </w:p>
    <w:p w14:paraId="5D44AC62" w14:textId="77777777" w:rsidR="002B7203" w:rsidRPr="002B7203" w:rsidRDefault="002B7203" w:rsidP="00F033AF">
      <w:pPr>
        <w:autoSpaceDE w:val="0"/>
        <w:autoSpaceDN w:val="0"/>
        <w:adjustRightInd w:val="0"/>
        <w:spacing w:after="0" w:line="240" w:lineRule="auto"/>
        <w:ind w:right="140"/>
        <w:rPr>
          <w:rFonts w:ascii="TimesNewRomanPSMT" w:hAnsi="TimesNewRomanPSMT" w:cs="TimesNewRomanPSMT"/>
          <w:color w:val="000000"/>
          <w:szCs w:val="20"/>
        </w:rPr>
      </w:pPr>
      <w:r w:rsidRPr="002B7203">
        <w:rPr>
          <w:rFonts w:ascii="TimesNewRomanPSMT" w:hAnsi="TimesNewRomanPSMT" w:cs="TimesNewRomanPSMT"/>
          <w:color w:val="000000"/>
          <w:szCs w:val="20"/>
        </w:rPr>
        <w:t>Används som underlag för utredning.</w:t>
      </w:r>
    </w:p>
    <w:p w14:paraId="2E9600CC" w14:textId="77777777" w:rsidR="002B7203" w:rsidRPr="002B7203" w:rsidRDefault="002B7203" w:rsidP="00F033AF">
      <w:pPr>
        <w:autoSpaceDE w:val="0"/>
        <w:autoSpaceDN w:val="0"/>
        <w:adjustRightInd w:val="0"/>
        <w:spacing w:after="0" w:line="240" w:lineRule="auto"/>
        <w:ind w:right="140"/>
        <w:rPr>
          <w:rFonts w:ascii="TimesNewRomanPSMT" w:hAnsi="TimesNewRomanPSMT" w:cs="TimesNewRomanPSMT"/>
          <w:color w:val="000000"/>
          <w:szCs w:val="20"/>
        </w:rPr>
      </w:pPr>
    </w:p>
    <w:p w14:paraId="4BA959BE" w14:textId="02BEC84F" w:rsidR="002B7203" w:rsidRPr="002B7203" w:rsidRDefault="004700B9" w:rsidP="00A732D1">
      <w:pPr>
        <w:spacing w:after="0" w:line="240" w:lineRule="auto"/>
        <w:ind w:right="140"/>
        <w:rPr>
          <w:szCs w:val="20"/>
        </w:rPr>
      </w:pPr>
      <w:hyperlink r:id="rId19" w:history="1">
        <w:r w:rsidR="00A732D1" w:rsidRPr="008240E1">
          <w:rPr>
            <w:rStyle w:val="Hyperlnk"/>
            <w:szCs w:val="20"/>
          </w:rPr>
          <w:t>https://sfai.se/wp-content/uploads/files/21-2c_Remiss_utredning.pdf</w:t>
        </w:r>
      </w:hyperlink>
    </w:p>
    <w:p w14:paraId="3AE49A60" w14:textId="77777777" w:rsidR="002B7203" w:rsidRPr="002B7203" w:rsidRDefault="002B7203" w:rsidP="00F033AF">
      <w:pPr>
        <w:autoSpaceDE w:val="0"/>
        <w:autoSpaceDN w:val="0"/>
        <w:adjustRightInd w:val="0"/>
        <w:spacing w:after="0" w:line="240" w:lineRule="auto"/>
        <w:ind w:right="140"/>
        <w:rPr>
          <w:rFonts w:ascii="TimesNewRomanPSMT" w:hAnsi="TimesNewRomanPSMT" w:cs="TimesNewRomanPSMT"/>
          <w:color w:val="000000"/>
          <w:szCs w:val="20"/>
        </w:rPr>
      </w:pPr>
      <w:r w:rsidRPr="002B7203">
        <w:rPr>
          <w:rFonts w:ascii="TimesNewRomanPSMT" w:hAnsi="TimesNewRomanPSMT" w:cs="TimesNewRomanPSMT"/>
          <w:color w:val="000000"/>
          <w:szCs w:val="20"/>
        </w:rPr>
        <w:t>Denna ska skickas till Allergologimottagningen NÄL.</w:t>
      </w:r>
    </w:p>
    <w:p w14:paraId="6F03323C" w14:textId="77777777" w:rsidR="002B7203" w:rsidRPr="002B7203" w:rsidRDefault="002B7203" w:rsidP="00F033AF">
      <w:pPr>
        <w:autoSpaceDE w:val="0"/>
        <w:autoSpaceDN w:val="0"/>
        <w:adjustRightInd w:val="0"/>
        <w:spacing w:after="0" w:line="240" w:lineRule="auto"/>
        <w:ind w:right="140"/>
        <w:rPr>
          <w:rFonts w:ascii="TimesNewRomanPSMT" w:hAnsi="TimesNewRomanPSMT" w:cs="TimesNewRomanPSMT"/>
          <w:color w:val="000000"/>
          <w:szCs w:val="20"/>
        </w:rPr>
      </w:pPr>
    </w:p>
    <w:p w14:paraId="68AB0E12" w14:textId="77777777" w:rsidR="002B7203" w:rsidRPr="002B7203" w:rsidRDefault="002B7203" w:rsidP="00F033AF">
      <w:pPr>
        <w:spacing w:after="0" w:line="240" w:lineRule="auto"/>
        <w:ind w:right="140"/>
        <w:rPr>
          <w:szCs w:val="20"/>
        </w:rPr>
      </w:pPr>
      <w:r w:rsidRPr="002B7203">
        <w:rPr>
          <w:szCs w:val="20"/>
        </w:rPr>
        <w:t xml:space="preserve">Viktigt att det tydligt beskrivs tid, symtom och händelseförlopp av reaktionen, vilka läkemedel som använts och när, i förhållande till reaktionen, det är givet, samt att anestesijournalen medföljer. Skriv även vad patienten fått för läkemedel på avdelningen innan och om någon av dessa är nya eller är misstänkta. Ange vilken/vilka läkemedel ni mest misstänker. Gäller det patient vårdad på IVA, postop, kan vi i läkemedelsmodulen inte se vilka läkemedel patienten fått. </w:t>
      </w:r>
    </w:p>
    <w:p w14:paraId="0547C67F" w14:textId="77777777" w:rsidR="002B7203" w:rsidRPr="002B7203" w:rsidRDefault="002B7203" w:rsidP="00F033AF">
      <w:pPr>
        <w:spacing w:after="0" w:line="240" w:lineRule="auto"/>
        <w:ind w:right="140"/>
        <w:rPr>
          <w:szCs w:val="20"/>
        </w:rPr>
      </w:pPr>
    </w:p>
    <w:p w14:paraId="2D96B694" w14:textId="77777777" w:rsidR="002B7203" w:rsidRPr="002B7203" w:rsidRDefault="002B7203" w:rsidP="00F033AF">
      <w:pPr>
        <w:spacing w:after="0" w:line="240" w:lineRule="auto"/>
        <w:ind w:right="140"/>
        <w:rPr>
          <w:szCs w:val="20"/>
        </w:rPr>
      </w:pPr>
      <w:r w:rsidRPr="002B7203">
        <w:rPr>
          <w:szCs w:val="20"/>
        </w:rPr>
        <w:t>Ange om ni önskar bedömning om detta var en allergiöverkänslighet respektive anafylaxi eller inte, eller om ni även önskar en testning om möjligt.</w:t>
      </w:r>
    </w:p>
    <w:p w14:paraId="09E70756" w14:textId="77777777" w:rsidR="002B7203" w:rsidRPr="002B7203" w:rsidRDefault="002B7203" w:rsidP="00F033AF">
      <w:pPr>
        <w:spacing w:after="0" w:line="240" w:lineRule="auto"/>
        <w:ind w:right="140"/>
        <w:rPr>
          <w:szCs w:val="20"/>
        </w:rPr>
      </w:pPr>
      <w:r w:rsidRPr="002B7203">
        <w:rPr>
          <w:szCs w:val="20"/>
        </w:rPr>
        <w:br/>
        <w:t xml:space="preserve">Om testning behövs tar vi då ställning till om vi ska skicka remissen vidare till Allergologimottagningen, SU, eller om vi kan hantera denna på NÄL. </w:t>
      </w:r>
    </w:p>
    <w:p w14:paraId="7F113139" w14:textId="77777777" w:rsidR="002B7203" w:rsidRPr="002B7203" w:rsidRDefault="002B7203" w:rsidP="00F033AF">
      <w:pPr>
        <w:spacing w:after="0" w:line="240" w:lineRule="auto"/>
        <w:ind w:right="140"/>
        <w:rPr>
          <w:szCs w:val="20"/>
        </w:rPr>
      </w:pPr>
    </w:p>
    <w:p w14:paraId="519A66BF" w14:textId="77777777" w:rsidR="002B7203" w:rsidRPr="002B7203" w:rsidRDefault="002B7203" w:rsidP="00F033AF">
      <w:pPr>
        <w:pStyle w:val="Rubrik3"/>
        <w:ind w:right="140"/>
        <w:rPr>
          <w:u w:val="single"/>
        </w:rPr>
      </w:pPr>
      <w:r w:rsidRPr="002B7203">
        <w:t>Provtagning i samband med reaktionen</w:t>
      </w:r>
    </w:p>
    <w:p w14:paraId="2B647DC9" w14:textId="77777777" w:rsidR="002B7203" w:rsidRPr="002B7203" w:rsidRDefault="002B7203" w:rsidP="00F033AF">
      <w:pPr>
        <w:numPr>
          <w:ilvl w:val="0"/>
          <w:numId w:val="20"/>
        </w:numPr>
        <w:spacing w:after="0" w:line="240" w:lineRule="auto"/>
        <w:ind w:left="992" w:right="140" w:hanging="720"/>
        <w:rPr>
          <w:sz w:val="16"/>
          <w:szCs w:val="16"/>
        </w:rPr>
      </w:pPr>
    </w:p>
    <w:p w14:paraId="493A5E09" w14:textId="77777777" w:rsidR="002B7203" w:rsidRPr="002B7203" w:rsidRDefault="002B7203" w:rsidP="00A732D1">
      <w:pPr>
        <w:numPr>
          <w:ilvl w:val="0"/>
          <w:numId w:val="23"/>
        </w:numPr>
        <w:spacing w:after="0" w:line="240" w:lineRule="auto"/>
        <w:ind w:left="1418" w:right="140"/>
        <w:rPr>
          <w:szCs w:val="20"/>
        </w:rPr>
      </w:pPr>
      <w:r w:rsidRPr="002B7203">
        <w:rPr>
          <w:szCs w:val="20"/>
        </w:rPr>
        <w:t>Ta ven- eller artärprov, två 10 ml glasrör utan tillsats, det ena för S-Tryptas och det andra för IgE/IgG-antikroppsanalys. (Skicka till klin kem som vidarebefodrar till Gbg – immunologen)</w:t>
      </w:r>
    </w:p>
    <w:p w14:paraId="5F366D30" w14:textId="77777777" w:rsidR="002B7203" w:rsidRPr="002B7203" w:rsidRDefault="002B7203" w:rsidP="00A732D1">
      <w:pPr>
        <w:numPr>
          <w:ilvl w:val="0"/>
          <w:numId w:val="23"/>
        </w:numPr>
        <w:spacing w:after="0" w:line="240" w:lineRule="auto"/>
        <w:ind w:left="1418" w:right="140"/>
        <w:rPr>
          <w:szCs w:val="20"/>
        </w:rPr>
      </w:pPr>
      <w:r w:rsidRPr="002B7203">
        <w:rPr>
          <w:szCs w:val="20"/>
        </w:rPr>
        <w:t>Ta gärna ytterligare ett prov för tryptas senare samma dag, 4-6 timmar efter reaktionen.</w:t>
      </w:r>
    </w:p>
    <w:p w14:paraId="4607B62F" w14:textId="77777777" w:rsidR="002B7203" w:rsidRPr="002B7203" w:rsidRDefault="002B7203" w:rsidP="00A732D1">
      <w:pPr>
        <w:numPr>
          <w:ilvl w:val="0"/>
          <w:numId w:val="23"/>
        </w:numPr>
        <w:spacing w:after="0" w:line="240" w:lineRule="auto"/>
        <w:ind w:left="1418" w:right="140"/>
        <w:rPr>
          <w:szCs w:val="20"/>
        </w:rPr>
      </w:pPr>
      <w:r w:rsidRPr="002B7203">
        <w:rPr>
          <w:szCs w:val="20"/>
        </w:rPr>
        <w:t>Övrig provtagning riktas mot behandling av överkänslighetsreaktionen och bör omfatta åtminstone artärblodgas, Hb och S-elektrolyter.</w:t>
      </w:r>
    </w:p>
    <w:p w14:paraId="30E50A8F" w14:textId="77777777" w:rsidR="002B7203" w:rsidRPr="002B7203" w:rsidRDefault="002B7203" w:rsidP="00A732D1">
      <w:pPr>
        <w:spacing w:after="0" w:line="240" w:lineRule="auto"/>
        <w:ind w:right="140"/>
        <w:rPr>
          <w:szCs w:val="20"/>
        </w:rPr>
      </w:pPr>
    </w:p>
    <w:p w14:paraId="5DD2CF7D" w14:textId="77777777" w:rsidR="002B7203" w:rsidRPr="002B7203" w:rsidRDefault="002B7203" w:rsidP="00F033AF">
      <w:pPr>
        <w:pStyle w:val="Rubrik2"/>
        <w:ind w:right="140"/>
      </w:pPr>
      <w:r w:rsidRPr="002B7203">
        <w:rPr>
          <w:rFonts w:ascii="TimesNewRomanPSMT" w:hAnsi="TimesNewRomanPSMT" w:cs="TimesNewRomanPSMT"/>
          <w:sz w:val="2"/>
          <w:szCs w:val="2"/>
        </w:rPr>
        <w:t>37B</w:t>
      </w:r>
      <w:r w:rsidRPr="002B7203">
        <w:t xml:space="preserve">Fortsatt handläggning vid </w:t>
      </w:r>
      <w:r w:rsidRPr="002B7203">
        <w:rPr>
          <w:rFonts w:ascii="Arial" w:hAnsi="Arial" w:cs="Arial"/>
        </w:rPr>
        <w:t>reaktioner</w:t>
      </w:r>
      <w:r w:rsidRPr="002B7203">
        <w:t xml:space="preserve"> på lokalanestetika</w:t>
      </w:r>
    </w:p>
    <w:p w14:paraId="64330EDA" w14:textId="39C21B60" w:rsidR="002B7203" w:rsidRPr="002B7203" w:rsidRDefault="002B7203" w:rsidP="00A732D1">
      <w:pPr>
        <w:autoSpaceDE w:val="0"/>
        <w:autoSpaceDN w:val="0"/>
        <w:adjustRightInd w:val="0"/>
        <w:spacing w:after="0" w:line="240" w:lineRule="auto"/>
        <w:ind w:right="140"/>
        <w:rPr>
          <w:szCs w:val="20"/>
        </w:rPr>
      </w:pPr>
      <w:r w:rsidRPr="002B7203">
        <w:rPr>
          <w:rFonts w:ascii="TimesNewRomanPSMT" w:hAnsi="TimesNewRomanPSMT" w:cs="TimesNewRomanPSMT"/>
          <w:szCs w:val="20"/>
        </w:rPr>
        <w:t>Det är egentligen onödigt att utföra injektionsprovokation mot lokalanestetika, eftersom det i princip alltid är vasovagalt utlösta. Här blir indikationen att övertyga patient och behandlande läkare/tandläkare om säkerheten att ge preparaten i framtiden.</w:t>
      </w:r>
      <w:bookmarkEnd w:id="0"/>
    </w:p>
    <w:sectPr w:rsidR="002B7203" w:rsidRPr="002B7203" w:rsidSect="002B720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05AA5" w14:textId="77777777" w:rsidR="00693021" w:rsidRDefault="00693021">
      <w:r>
        <w:separator/>
      </w:r>
    </w:p>
  </w:endnote>
  <w:endnote w:type="continuationSeparator" w:id="0">
    <w:p w14:paraId="67A05BD8" w14:textId="77777777" w:rsidR="00693021" w:rsidRDefault="00693021">
      <w:r>
        <w:continuationSeparator/>
      </w:r>
    </w:p>
  </w:endnote>
  <w:endnote w:type="continuationNotice" w:id="1">
    <w:p w14:paraId="585397B2" w14:textId="77777777" w:rsidR="00693021" w:rsidRDefault="006930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altName w:val="Calibri"/>
    <w:panose1 w:val="00000000000000000000"/>
    <w:charset w:val="00"/>
    <w:family w:val="modern"/>
    <w:notTrueType/>
    <w:pitch w:val="fixed"/>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5A2AE" w14:textId="77777777" w:rsidR="00693021" w:rsidRDefault="00693021"/>
  </w:footnote>
  <w:footnote w:type="continuationSeparator" w:id="0">
    <w:p w14:paraId="44378786" w14:textId="77777777" w:rsidR="00693021" w:rsidRDefault="00693021">
      <w:r>
        <w:continuationSeparator/>
      </w:r>
    </w:p>
  </w:footnote>
  <w:footnote w:type="continuationNotice" w:id="1">
    <w:p w14:paraId="1E704EDB" w14:textId="77777777" w:rsidR="00693021" w:rsidRDefault="006930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78833B3"/>
    <w:multiLevelType w:val="hybridMultilevel"/>
    <w:tmpl w:val="5BBC93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FF61D85"/>
    <w:multiLevelType w:val="hybridMultilevel"/>
    <w:tmpl w:val="2C0666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A33386"/>
    <w:multiLevelType w:val="hybridMultilevel"/>
    <w:tmpl w:val="9ABC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54100748">
    <w:abstractNumId w:val="21"/>
  </w:num>
  <w:num w:numId="2" w16cid:durableId="2082214303">
    <w:abstractNumId w:val="18"/>
  </w:num>
  <w:num w:numId="3" w16cid:durableId="966860688">
    <w:abstractNumId w:val="0"/>
  </w:num>
  <w:num w:numId="4" w16cid:durableId="398602188">
    <w:abstractNumId w:val="7"/>
  </w:num>
  <w:num w:numId="5" w16cid:durableId="1490099328">
    <w:abstractNumId w:val="19"/>
  </w:num>
  <w:num w:numId="6" w16cid:durableId="553390400">
    <w:abstractNumId w:val="3"/>
  </w:num>
  <w:num w:numId="7" w16cid:durableId="2037540365">
    <w:abstractNumId w:val="14"/>
  </w:num>
  <w:num w:numId="8" w16cid:durableId="1508709427">
    <w:abstractNumId w:val="11"/>
  </w:num>
  <w:num w:numId="9" w16cid:durableId="291325015">
    <w:abstractNumId w:val="2"/>
  </w:num>
  <w:num w:numId="10" w16cid:durableId="152569861">
    <w:abstractNumId w:val="2"/>
  </w:num>
  <w:num w:numId="11" w16cid:durableId="1498183636">
    <w:abstractNumId w:val="4"/>
  </w:num>
  <w:num w:numId="12" w16cid:durableId="1142965960">
    <w:abstractNumId w:val="5"/>
  </w:num>
  <w:num w:numId="13" w16cid:durableId="795686695">
    <w:abstractNumId w:val="17"/>
  </w:num>
  <w:num w:numId="14" w16cid:durableId="262496106">
    <w:abstractNumId w:val="12"/>
  </w:num>
  <w:num w:numId="15" w16cid:durableId="1033924593">
    <w:abstractNumId w:val="8"/>
  </w:num>
  <w:num w:numId="16" w16cid:durableId="847212789">
    <w:abstractNumId w:val="16"/>
  </w:num>
  <w:num w:numId="17" w16cid:durableId="770125019">
    <w:abstractNumId w:val="6"/>
  </w:num>
  <w:num w:numId="18" w16cid:durableId="78184983">
    <w:abstractNumId w:val="13"/>
  </w:num>
  <w:num w:numId="19" w16cid:durableId="1804032388">
    <w:abstractNumId w:val="20"/>
  </w:num>
  <w:num w:numId="20" w16cid:durableId="1950165178">
    <w:abstractNumId w:val="1"/>
  </w:num>
  <w:num w:numId="21" w16cid:durableId="615067216">
    <w:abstractNumId w:val="10"/>
  </w:num>
  <w:num w:numId="22" w16cid:durableId="9987014">
    <w:abstractNumId w:val="9"/>
  </w:num>
  <w:num w:numId="23" w16cid:durableId="18491739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09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0AF1"/>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78B7"/>
    <w:rsid w:val="00280A85"/>
    <w:rsid w:val="00284119"/>
    <w:rsid w:val="00290B5C"/>
    <w:rsid w:val="00294791"/>
    <w:rsid w:val="002B0B30"/>
    <w:rsid w:val="002B0C78"/>
    <w:rsid w:val="002B7203"/>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0B9"/>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0167D"/>
    <w:rsid w:val="00511CC4"/>
    <w:rsid w:val="005154B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07EC"/>
    <w:rsid w:val="00673C92"/>
    <w:rsid w:val="006753EC"/>
    <w:rsid w:val="00693021"/>
    <w:rsid w:val="006A2789"/>
    <w:rsid w:val="006A4978"/>
    <w:rsid w:val="006A7261"/>
    <w:rsid w:val="006B0D29"/>
    <w:rsid w:val="006B1819"/>
    <w:rsid w:val="006B5DE7"/>
    <w:rsid w:val="006C5048"/>
    <w:rsid w:val="006C6A4B"/>
    <w:rsid w:val="006C779F"/>
    <w:rsid w:val="006D01F5"/>
    <w:rsid w:val="006D0CFB"/>
    <w:rsid w:val="006D30C0"/>
    <w:rsid w:val="006D3328"/>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0048"/>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32D1"/>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5B0F"/>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5F7B"/>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1506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33AF"/>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AEFFBFB0-DD3E-488C-B272-B69C0C266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Strecklista">
    <w:name w:val="Strecklista"/>
    <w:basedOn w:val="Normal"/>
    <w:rsid w:val="002B7203"/>
    <w:pPr>
      <w:numPr>
        <w:numId w:val="20"/>
      </w:numPr>
      <w:spacing w:after="0" w:line="240" w:lineRule="auto"/>
      <w:ind w:right="0"/>
    </w:pPr>
  </w:style>
  <w:style w:type="character" w:styleId="Olstomnmnande">
    <w:name w:val="Unresolved Mention"/>
    <w:basedOn w:val="Standardstycketeckensnitt"/>
    <w:uiPriority w:val="99"/>
    <w:semiHidden/>
    <w:unhideWhenUsed/>
    <w:rsid w:val="00A73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sfai.se/riktlinjer/anafylaktisk-reaktion-under-anestesi"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sffa.nu/wp-content/uploads/2015/12/Anafylaxi_sept_2015.pdf"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sfai.se/wp-content/uploads/files/21-2c_Remiss_utredning.pdf"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4</Pages>
  <Words>815</Words>
  <Characters>5803</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6605</CharactersWithSpaces>
  <SharedDoc>false</SharedDoc>
  <HyperlinkBase/>
  <HLinks>
    <vt:vector size="18" baseType="variant">
      <vt:variant>
        <vt:i4>4718672</vt:i4>
      </vt:variant>
      <vt:variant>
        <vt:i4>6</vt:i4>
      </vt:variant>
      <vt:variant>
        <vt:i4>0</vt:i4>
      </vt:variant>
      <vt:variant>
        <vt:i4>5</vt:i4>
      </vt:variant>
      <vt:variant>
        <vt:lpwstr>https://sfai.se/wp-content/uploads/files/21-2c_Remiss_utredning.pdf</vt:lpwstr>
      </vt:variant>
      <vt:variant>
        <vt:lpwstr/>
      </vt:variant>
      <vt:variant>
        <vt:i4>3932212</vt:i4>
      </vt:variant>
      <vt:variant>
        <vt:i4>3</vt:i4>
      </vt:variant>
      <vt:variant>
        <vt:i4>0</vt:i4>
      </vt:variant>
      <vt:variant>
        <vt:i4>5</vt:i4>
      </vt:variant>
      <vt:variant>
        <vt:lpwstr>http://www.sfai.se/riktlinjer/anafylaktisk-reaktion-under-anestesi</vt:lpwstr>
      </vt:variant>
      <vt:variant>
        <vt:lpwstr/>
      </vt:variant>
      <vt:variant>
        <vt:i4>3211319</vt:i4>
      </vt:variant>
      <vt:variant>
        <vt:i4>0</vt:i4>
      </vt:variant>
      <vt:variant>
        <vt:i4>0</vt:i4>
      </vt:variant>
      <vt:variant>
        <vt:i4>5</vt:i4>
      </vt:variant>
      <vt:variant>
        <vt:lpwstr>http://www.sffa.nu/wp-content/uploads/2015/12/Anafylaxi_sept_2015.pdf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Anafylaxi i samband med anestesi och intensivvård</dc:title>
  <dc:subject/>
  <dc:creator>patrik.jens.johansson@vgregion.se</dc:creator>
  <keywords/>
  <lastModifiedBy>Carina Turesson Roos</lastModifiedBy>
  <revision>12</revision>
  <lastPrinted>2016-03-31T19:56:00.0000000Z</lastPrinted>
  <dcterms:created xsi:type="dcterms:W3CDTF">2022-05-24T13:05:00.0000000Z</dcterms:created>
  <dcterms:modified xsi:type="dcterms:W3CDTF">2024-05-17T08:25:00.0000000Z</dcterms:modified>
</coreProperties>
</file>