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B4D7F" w14:textId="77777777" w:rsidR="00B20FB4" w:rsidRDefault="00B20FB4" w:rsidP="0071740A">
      <w:pPr>
        <w:ind w:left="851" w:right="424"/>
      </w:pPr>
    </w:p>
    <w:p w14:paraId="0E88FBA6" w14:textId="77777777" w:rsidR="00B20FB4" w:rsidRDefault="00B20FB4" w:rsidP="0071740A">
      <w:pPr>
        <w:ind w:left="851" w:right="424"/>
      </w:pPr>
    </w:p>
    <w:p w14:paraId="382AC22F" w14:textId="77777777" w:rsidR="00B20FB4" w:rsidRDefault="00B20FB4" w:rsidP="0071740A">
      <w:pPr>
        <w:tabs>
          <w:tab w:val="left" w:pos="4590"/>
        </w:tabs>
        <w:ind w:left="851" w:right="424"/>
      </w:pPr>
      <w:r>
        <w:tab/>
      </w:r>
    </w:p>
    <w:p w14:paraId="5B68455D" w14:textId="2F943060" w:rsidR="00B20FB4" w:rsidRDefault="00B20FB4" w:rsidP="0071740A">
      <w:pPr>
        <w:ind w:left="851" w:right="42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FCD03A" wp14:editId="6C52625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CD331D" w14:textId="77777777" w:rsidR="00B20FB4" w:rsidRPr="003D37FD" w:rsidRDefault="00B20FB4" w:rsidP="00B20FB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12622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FCD03A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24CD331D" w14:textId="77777777" w:rsidR="00B20FB4" w:rsidRPr="003D37FD" w:rsidRDefault="00B20FB4" w:rsidP="00B20FB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12622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20FB4" w14:paraId="27A4C7E3" w14:textId="77777777" w:rsidTr="00063AB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E9BC9DE" w14:textId="77777777" w:rsidR="00B20FB4" w:rsidRDefault="00B20FB4" w:rsidP="0071740A">
            <w:pPr>
              <w:pStyle w:val="Sidhuvud"/>
              <w:ind w:left="851" w:right="424"/>
              <w:rPr>
                <w:rFonts w:ascii="Arial" w:hAnsi="Arial" w:cs="Arial"/>
                <w:sz w:val="36"/>
                <w:szCs w:val="36"/>
              </w:rPr>
            </w:pPr>
            <w:bookmarkStart w:id="0" w:name="_1314629194"/>
            <w:bookmarkStart w:id="1" w:name="Rubrik"/>
            <w:bookmarkEnd w:id="0"/>
            <w:bookmarkEnd w:id="1"/>
          </w:p>
          <w:p w14:paraId="38DBC3C6" w14:textId="77777777" w:rsidR="00B20FB4" w:rsidRDefault="00B20FB4" w:rsidP="0071740A">
            <w:pPr>
              <w:pStyle w:val="Sidhuvud"/>
              <w:ind w:left="851" w:right="424"/>
              <w:rPr>
                <w:rFonts w:ascii="Arial" w:hAnsi="Arial" w:cs="Arial"/>
                <w:sz w:val="36"/>
                <w:szCs w:val="36"/>
              </w:rPr>
            </w:pPr>
          </w:p>
          <w:p w14:paraId="265A0BB8" w14:textId="77777777" w:rsidR="00B20FB4" w:rsidRDefault="00B20FB4" w:rsidP="0071740A">
            <w:pPr>
              <w:pStyle w:val="Sidhuvud"/>
              <w:ind w:left="851" w:right="424"/>
              <w:rPr>
                <w:rFonts w:ascii="Arial" w:hAnsi="Arial" w:cs="Arial"/>
                <w:sz w:val="36"/>
                <w:szCs w:val="36"/>
              </w:rPr>
            </w:pPr>
          </w:p>
          <w:p w14:paraId="4273E3FB" w14:textId="77777777" w:rsidR="00B20FB4" w:rsidRDefault="00B20FB4" w:rsidP="0071740A">
            <w:pPr>
              <w:pStyle w:val="Sidhuvud"/>
              <w:ind w:left="851" w:right="424"/>
              <w:rPr>
                <w:rFonts w:ascii="Arial" w:hAnsi="Arial" w:cs="Arial"/>
                <w:sz w:val="36"/>
                <w:szCs w:val="36"/>
              </w:rPr>
            </w:pPr>
          </w:p>
          <w:p w14:paraId="14BAB5AC" w14:textId="77777777" w:rsidR="00B20FB4" w:rsidRDefault="00B20FB4" w:rsidP="0071740A">
            <w:pPr>
              <w:pStyle w:val="Sidhuvud"/>
              <w:ind w:left="851" w:right="424"/>
              <w:rPr>
                <w:rFonts w:ascii="Arial" w:hAnsi="Arial" w:cs="Arial"/>
                <w:sz w:val="36"/>
                <w:szCs w:val="36"/>
              </w:rPr>
            </w:pPr>
          </w:p>
          <w:p w14:paraId="4A39D4C8" w14:textId="72FDFC08" w:rsidR="00B20FB4" w:rsidRDefault="00B20FB4" w:rsidP="0071740A">
            <w:pPr>
              <w:pStyle w:val="Rubrik1"/>
              <w:ind w:left="851"/>
              <w:rPr>
                <w:sz w:val="32"/>
              </w:rPr>
            </w:pPr>
            <w:r>
              <w:t>NovoSeven® (rekombinant faktor VIIA)</w:t>
            </w:r>
          </w:p>
        </w:tc>
      </w:tr>
    </w:tbl>
    <w:p w14:paraId="77951106" w14:textId="77777777" w:rsidR="00B20FB4" w:rsidRDefault="00B20FB4" w:rsidP="0071740A">
      <w:pPr>
        <w:pStyle w:val="Rubrik1"/>
        <w:ind w:left="851" w:right="424"/>
      </w:pPr>
    </w:p>
    <w:p w14:paraId="2CBB10E9" w14:textId="77777777" w:rsidR="00B20FB4" w:rsidRDefault="00B20FB4" w:rsidP="0071740A">
      <w:pPr>
        <w:pStyle w:val="Rubrik2"/>
        <w:ind w:left="851"/>
      </w:pPr>
      <w:r>
        <w:t>Revidering i denna version</w:t>
      </w:r>
    </w:p>
    <w:p w14:paraId="1F848CB1" w14:textId="77777777" w:rsidR="00B20FB4" w:rsidRPr="00C71890" w:rsidRDefault="00B20FB4" w:rsidP="0071740A">
      <w:pPr>
        <w:ind w:left="851" w:right="424"/>
      </w:pPr>
      <w:r>
        <w:t>Revidering under rubrik: Förvaring</w:t>
      </w:r>
    </w:p>
    <w:p w14:paraId="5E75A99A" w14:textId="77777777" w:rsidR="00B20FB4" w:rsidRPr="0071740A" w:rsidRDefault="00B20FB4" w:rsidP="0071740A">
      <w:pPr>
        <w:pStyle w:val="Rubrik2"/>
        <w:ind w:left="851"/>
      </w:pPr>
      <w:r w:rsidRPr="0071740A">
        <w:t>Bakgrund</w:t>
      </w:r>
    </w:p>
    <w:p w14:paraId="62F86CEF" w14:textId="77777777" w:rsidR="00B20FB4" w:rsidRPr="00635F67" w:rsidRDefault="00B20FB4" w:rsidP="0071740A">
      <w:pPr>
        <w:ind w:left="851" w:right="424"/>
      </w:pPr>
      <w:r w:rsidRPr="00635F67">
        <w:t>Användning av NovoSeven</w:t>
      </w:r>
      <w:r w:rsidRPr="00635F67">
        <w:rPr>
          <w:rFonts w:ascii="Symbol" w:hAnsi="Symbol"/>
        </w:rPr>
        <w:sym w:font="Symbol" w:char="F0E2"/>
      </w:r>
      <w:r w:rsidRPr="00635F67">
        <w:t xml:space="preserve"> kan övervägas vid massiv blödning (motsvarande 1 E erytrocytkoncentrat/10 kg kroppsvikt/tim) trots adekvat kirurgisk behandling och transfusion med blodprodukter, inkl. minst 4 E plasma</w:t>
      </w:r>
      <w:r>
        <w:t>.</w:t>
      </w:r>
    </w:p>
    <w:p w14:paraId="6F77ED8E" w14:textId="77777777" w:rsidR="00B20FB4" w:rsidRPr="0071740A" w:rsidRDefault="00B20FB4" w:rsidP="0071740A">
      <w:pPr>
        <w:pStyle w:val="Rubrik2"/>
        <w:ind w:left="851"/>
      </w:pPr>
      <w:r w:rsidRPr="0071740A">
        <w:t>Syfte</w:t>
      </w:r>
    </w:p>
    <w:p w14:paraId="66E14D88" w14:textId="77777777" w:rsidR="00B20FB4" w:rsidRPr="00635F67" w:rsidRDefault="00B20FB4" w:rsidP="0071740A">
      <w:pPr>
        <w:tabs>
          <w:tab w:val="left" w:pos="5520"/>
        </w:tabs>
        <w:ind w:left="851" w:right="424"/>
      </w:pPr>
      <w:r w:rsidRPr="00635F67">
        <w:t>Säker enhetlig hantering av NovoSeven®</w:t>
      </w:r>
      <w:r w:rsidRPr="00635F67">
        <w:tab/>
      </w:r>
    </w:p>
    <w:p w14:paraId="6C683870" w14:textId="77777777" w:rsidR="00B20FB4" w:rsidRPr="0071740A" w:rsidRDefault="00B20FB4" w:rsidP="0071740A">
      <w:pPr>
        <w:pStyle w:val="Rubrik2"/>
        <w:ind w:left="851"/>
      </w:pPr>
      <w:r w:rsidRPr="0071740A">
        <w:t>Vilka berörs</w:t>
      </w:r>
    </w:p>
    <w:p w14:paraId="754A1F50" w14:textId="77777777" w:rsidR="00B20FB4" w:rsidRDefault="00B20FB4" w:rsidP="0071740A">
      <w:pPr>
        <w:ind w:left="851" w:right="424"/>
      </w:pPr>
      <w:r w:rsidRPr="00635F67">
        <w:t>Läkare inom AnOpIVA</w:t>
      </w:r>
      <w:r>
        <w:t>.</w:t>
      </w:r>
    </w:p>
    <w:p w14:paraId="19ABC401" w14:textId="77777777" w:rsidR="00B20FB4" w:rsidRPr="0071740A" w:rsidRDefault="00B20FB4" w:rsidP="0071740A">
      <w:pPr>
        <w:pStyle w:val="Rubrik2"/>
        <w:ind w:left="851"/>
      </w:pPr>
      <w:r w:rsidRPr="0071740A">
        <w:t>Farmakodynamik</w:t>
      </w:r>
    </w:p>
    <w:p w14:paraId="6D8B1F72" w14:textId="77777777" w:rsidR="00B20FB4" w:rsidRPr="00635F67" w:rsidRDefault="00B20FB4" w:rsidP="0071740A">
      <w:pPr>
        <w:ind w:left="851" w:right="424"/>
      </w:pPr>
      <w:r w:rsidRPr="00635F67">
        <w:t>NovoSeven</w:t>
      </w:r>
      <w:r w:rsidRPr="00635F67">
        <w:rPr>
          <w:rFonts w:ascii="Symbol" w:hAnsi="Symbol"/>
        </w:rPr>
        <w:sym w:font="Symbol" w:char="F0E2"/>
      </w:r>
      <w:r w:rsidRPr="00635F67">
        <w:t xml:space="preserve"> kräver för effekt TPK </w:t>
      </w:r>
      <w:r w:rsidRPr="00635F67">
        <w:rPr>
          <w:rFonts w:ascii="Tahoma" w:hAnsi="Tahoma"/>
        </w:rPr>
        <w:t xml:space="preserve">≥ </w:t>
      </w:r>
      <w:r w:rsidRPr="00635F67">
        <w:t>50 x</w:t>
      </w:r>
      <w:r w:rsidRPr="00635F67">
        <w:rPr>
          <w:rFonts w:ascii="Tahoma" w:hAnsi="Tahoma"/>
        </w:rPr>
        <w:t xml:space="preserve"> </w:t>
      </w:r>
      <w:r w:rsidRPr="00635F67">
        <w:t>10</w:t>
      </w:r>
      <w:r w:rsidRPr="00635F67">
        <w:rPr>
          <w:vertAlign w:val="superscript"/>
        </w:rPr>
        <w:t>9</w:t>
      </w:r>
      <w:r w:rsidRPr="00635F67">
        <w:t xml:space="preserve">/L och fibrinogen </w:t>
      </w:r>
      <w:r w:rsidRPr="00635F67">
        <w:rPr>
          <w:rFonts w:ascii="Tahoma" w:hAnsi="Tahoma"/>
        </w:rPr>
        <w:t>≥</w:t>
      </w:r>
      <w:r w:rsidRPr="00635F67">
        <w:t xml:space="preserve">1,5 – </w:t>
      </w:r>
      <w:r w:rsidRPr="00635F67">
        <w:rPr>
          <w:u w:val="single"/>
        </w:rPr>
        <w:t>2 g</w:t>
      </w:r>
      <w:r w:rsidRPr="00635F67">
        <w:t xml:space="preserve">/L, pH </w:t>
      </w:r>
      <w:r w:rsidRPr="00635F67">
        <w:rPr>
          <w:rFonts w:ascii="Tahoma" w:hAnsi="Tahoma"/>
        </w:rPr>
        <w:t>≥</w:t>
      </w:r>
      <w:r w:rsidRPr="00635F67">
        <w:t xml:space="preserve"> 7,1 och normotermi.</w:t>
      </w:r>
    </w:p>
    <w:p w14:paraId="0D424464" w14:textId="77777777" w:rsidR="00B20FB4" w:rsidRPr="00635F67" w:rsidRDefault="00B20FB4" w:rsidP="0071740A">
      <w:pPr>
        <w:ind w:left="851" w:right="424"/>
        <w:rPr>
          <w:sz w:val="20"/>
        </w:rPr>
      </w:pPr>
    </w:p>
    <w:p w14:paraId="42465A10" w14:textId="77777777" w:rsidR="00B20FB4" w:rsidRPr="0071740A" w:rsidRDefault="00B20FB4" w:rsidP="0071740A">
      <w:pPr>
        <w:pStyle w:val="Rubrik2"/>
        <w:ind w:left="851"/>
      </w:pPr>
      <w:r w:rsidRPr="0071740A">
        <w:lastRenderedPageBreak/>
        <w:t>Indikationer</w:t>
      </w:r>
    </w:p>
    <w:p w14:paraId="1FF9F853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Trauma</w:t>
      </w:r>
    </w:p>
    <w:p w14:paraId="53B839D4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Annan stor kirurgi, per- eller postoperativt</w:t>
      </w:r>
    </w:p>
    <w:p w14:paraId="5D8F6443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Obstetriska blödningar</w:t>
      </w:r>
    </w:p>
    <w:p w14:paraId="49E7A8E1" w14:textId="77777777" w:rsidR="00B20FB4" w:rsidRPr="0071740A" w:rsidRDefault="00B20FB4" w:rsidP="0071740A">
      <w:pPr>
        <w:pStyle w:val="Rubrik2"/>
        <w:ind w:left="851"/>
      </w:pPr>
      <w:r w:rsidRPr="0071740A">
        <w:t>Relativa kontraindikationer</w:t>
      </w:r>
    </w:p>
    <w:p w14:paraId="57469348" w14:textId="77777777" w:rsidR="00B20FB4" w:rsidRPr="00635F67" w:rsidRDefault="00B20FB4" w:rsidP="0071740A">
      <w:pPr>
        <w:ind w:left="851" w:right="424"/>
      </w:pPr>
      <w:r w:rsidRPr="00635F67">
        <w:t>Tromboemboliska sjukdomar de senaste 6 månaderna. Komplikationsrisk får vägas mot förväntad behandlingsvinst i det enskilda fallet.</w:t>
      </w:r>
    </w:p>
    <w:p w14:paraId="45F6A743" w14:textId="77777777" w:rsidR="00B20FB4" w:rsidRPr="0071740A" w:rsidRDefault="00B20FB4" w:rsidP="0071740A">
      <w:pPr>
        <w:pStyle w:val="Rubrik2"/>
        <w:ind w:left="851" w:right="424"/>
      </w:pPr>
      <w:r w:rsidRPr="0071740A">
        <w:t>Initialt behandlingsschema vid massiv blödning som skall tillämpas innan behandling med NovoSeven® påbörjas</w:t>
      </w:r>
    </w:p>
    <w:p w14:paraId="227B8A76" w14:textId="77777777" w:rsidR="00B20FB4" w:rsidRPr="00635F67" w:rsidRDefault="00B20FB4" w:rsidP="0071740A">
      <w:pPr>
        <w:ind w:left="851" w:right="424"/>
        <w:rPr>
          <w:sz w:val="20"/>
        </w:rPr>
      </w:pPr>
    </w:p>
    <w:p w14:paraId="787B9187" w14:textId="77777777" w:rsidR="00B20FB4" w:rsidRPr="00635F67" w:rsidRDefault="00B20FB4" w:rsidP="0071740A">
      <w:pPr>
        <w:ind w:left="851" w:right="424"/>
      </w:pPr>
      <w:r w:rsidRPr="00635F67">
        <w:t xml:space="preserve">Följande </w:t>
      </w:r>
      <w:r w:rsidRPr="00635F67">
        <w:rPr>
          <w:b/>
        </w:rPr>
        <w:t>koagulationsparametrar</w:t>
      </w:r>
      <w:r w:rsidRPr="00635F67">
        <w:t xml:space="preserve"> kontrolleras:</w:t>
      </w:r>
    </w:p>
    <w:p w14:paraId="378ADEE1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APTT</w:t>
      </w:r>
    </w:p>
    <w:p w14:paraId="65953ADF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PK</w:t>
      </w:r>
    </w:p>
    <w:p w14:paraId="290074C0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Trombocyttal</w:t>
      </w:r>
    </w:p>
    <w:p w14:paraId="118BA745" w14:textId="77777777" w:rsidR="00B20FB4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Fibronogen</w:t>
      </w:r>
    </w:p>
    <w:p w14:paraId="359CBA6A" w14:textId="77777777" w:rsidR="00B20FB4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>
        <w:t>ROTEM</w:t>
      </w:r>
    </w:p>
    <w:p w14:paraId="58799264" w14:textId="77777777" w:rsidR="0071740A" w:rsidRDefault="0071740A" w:rsidP="0071740A">
      <w:pPr>
        <w:ind w:left="851" w:right="424"/>
      </w:pPr>
    </w:p>
    <w:p w14:paraId="58A83EC3" w14:textId="02462802" w:rsidR="00B20FB4" w:rsidRPr="00635F67" w:rsidRDefault="00B20FB4" w:rsidP="0071740A">
      <w:pPr>
        <w:ind w:left="851" w:right="424"/>
      </w:pPr>
      <w:r w:rsidRPr="00635F67">
        <w:t>Övriga koagulationsparametrar i samråd med koagulationsspecialist (se ”kontakter” nedan).</w:t>
      </w:r>
    </w:p>
    <w:p w14:paraId="497C98E7" w14:textId="77777777" w:rsidR="00B20FB4" w:rsidRPr="00635F67" w:rsidRDefault="00B20FB4" w:rsidP="0071740A">
      <w:pPr>
        <w:ind w:left="851" w:right="424"/>
      </w:pPr>
    </w:p>
    <w:p w14:paraId="4C02BC7F" w14:textId="77777777" w:rsidR="00B20FB4" w:rsidRPr="00635F67" w:rsidRDefault="00B20FB4" w:rsidP="0071740A">
      <w:pPr>
        <w:ind w:left="851" w:right="424"/>
      </w:pPr>
      <w:r w:rsidRPr="00635F67">
        <w:rPr>
          <w:b/>
        </w:rPr>
        <w:t>Utan</w:t>
      </w:r>
      <w:r w:rsidRPr="00635F67">
        <w:t xml:space="preserve"> att invänta lab-svar ges:</w:t>
      </w:r>
    </w:p>
    <w:p w14:paraId="2006212A" w14:textId="77777777" w:rsidR="00B20FB4" w:rsidRPr="00635F67" w:rsidRDefault="00B20FB4" w:rsidP="0071740A">
      <w:pPr>
        <w:ind w:left="851" w:right="424"/>
      </w:pPr>
    </w:p>
    <w:p w14:paraId="2633179C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Trombocyter 2 E</w:t>
      </w:r>
    </w:p>
    <w:p w14:paraId="111D7CDD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FFP (färskfrusen plasma), 10 – 20 ml/kg kroppsvikt</w:t>
      </w:r>
    </w:p>
    <w:p w14:paraId="334BDED0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Fibrinogen 2 – 4 g (</w:t>
      </w:r>
      <w:r>
        <w:t>f.n Fibryga</w:t>
      </w:r>
      <w:r w:rsidRPr="00635F67">
        <w:t>®)</w:t>
      </w:r>
    </w:p>
    <w:p w14:paraId="00AF91B5" w14:textId="77777777" w:rsidR="00B20FB4" w:rsidRPr="00635F67" w:rsidRDefault="00B20FB4" w:rsidP="0071740A">
      <w:pPr>
        <w:ind w:left="851" w:right="424"/>
      </w:pPr>
    </w:p>
    <w:p w14:paraId="6A756C72" w14:textId="77777777" w:rsidR="00B20FB4" w:rsidRPr="00635F67" w:rsidRDefault="00B20FB4" w:rsidP="0071740A">
      <w:pPr>
        <w:ind w:left="851" w:right="424"/>
      </w:pPr>
      <w:r w:rsidRPr="00635F67">
        <w:t xml:space="preserve">Följande </w:t>
      </w:r>
      <w:r w:rsidRPr="00635F67">
        <w:rPr>
          <w:b/>
        </w:rPr>
        <w:t>avvikelse</w:t>
      </w:r>
      <w:r w:rsidRPr="00635F67">
        <w:t xml:space="preserve"> skall åtgärdas:</w:t>
      </w:r>
    </w:p>
    <w:p w14:paraId="35CE4B40" w14:textId="77777777" w:rsidR="00B20FB4" w:rsidRPr="00635F67" w:rsidRDefault="00B20FB4" w:rsidP="0071740A">
      <w:pPr>
        <w:ind w:left="851" w:right="424"/>
      </w:pPr>
    </w:p>
    <w:p w14:paraId="4629A287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Acidos (pH skall vara över 7,1)</w:t>
      </w:r>
    </w:p>
    <w:p w14:paraId="464CEB6F" w14:textId="77777777" w:rsidR="00B20FB4" w:rsidRPr="00635F67" w:rsidRDefault="00B20FB4" w:rsidP="0071740A">
      <w:pPr>
        <w:ind w:left="851" w:right="424"/>
        <w:rPr>
          <w:sz w:val="20"/>
        </w:rPr>
      </w:pPr>
    </w:p>
    <w:p w14:paraId="7DB307BF" w14:textId="77777777" w:rsidR="0071740A" w:rsidRDefault="0071740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FF0EBBA" w14:textId="0F63AB65" w:rsidR="00B20FB4" w:rsidRDefault="00B20FB4" w:rsidP="0071740A">
      <w:pPr>
        <w:pStyle w:val="Rubrik2"/>
        <w:ind w:left="851" w:right="424"/>
      </w:pPr>
      <w:r w:rsidRPr="004402FE">
        <w:lastRenderedPageBreak/>
        <w:t>Om blödningen fortsätter trots ovanstående åtgärder rekommenderas behandling med NovoSeven®</w:t>
      </w:r>
    </w:p>
    <w:p w14:paraId="71136056" w14:textId="77777777" w:rsidR="0071740A" w:rsidRPr="0071740A" w:rsidRDefault="0071740A" w:rsidP="0071740A"/>
    <w:p w14:paraId="288FEF5A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 xml:space="preserve">Starta med 0,1 mg/kg NovoSeven® som intravenös bolusdos under 2 – 3 </w:t>
      </w:r>
      <w:r>
        <w:t>minuter (ej infusion). Ge även T</w:t>
      </w:r>
      <w:r w:rsidRPr="00635F67">
        <w:t>ranexamsyra (</w:t>
      </w:r>
      <w:r>
        <w:t xml:space="preserve"> f.n.Stataraxen</w:t>
      </w:r>
      <w:r w:rsidRPr="00635F67">
        <w:rPr>
          <w:rFonts w:ascii="Symbol" w:hAnsi="Symbol"/>
        </w:rPr>
        <w:sym w:font="Symbol" w:char="F0E2"/>
      </w:r>
      <w:r w:rsidRPr="00635F67">
        <w:t xml:space="preserve">) 10 – 20 mg/kg iv. Avvakta effekt. </w:t>
      </w:r>
    </w:p>
    <w:p w14:paraId="34DE0CB0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 xml:space="preserve">Om effekten uteblir inom 15 – 30 minuter upprepas NovoSeven® dosen </w:t>
      </w:r>
      <w:r w:rsidRPr="00635F67">
        <w:rPr>
          <w:b/>
        </w:rPr>
        <w:t xml:space="preserve">en </w:t>
      </w:r>
      <w:r w:rsidRPr="00635F67">
        <w:t>gång.</w:t>
      </w:r>
    </w:p>
    <w:p w14:paraId="4599903B" w14:textId="77777777" w:rsidR="00B20FB4" w:rsidRPr="00635F67" w:rsidRDefault="00B20FB4" w:rsidP="0071740A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134" w:right="424" w:hanging="283"/>
      </w:pPr>
      <w:r w:rsidRPr="00635F67">
        <w:t>Återgå därefter till ovanstående initiala behandlingsschema, anpassat till aktuellt koagulationsstatus, om blödningen inte avstannat (ytterligare dos NovoSeven® är ej meningsfull)</w:t>
      </w:r>
    </w:p>
    <w:p w14:paraId="2F3F0E89" w14:textId="77777777" w:rsidR="00B20FB4" w:rsidRPr="00635F67" w:rsidRDefault="00B20FB4" w:rsidP="0071740A">
      <w:pPr>
        <w:ind w:left="851" w:right="424"/>
        <w:rPr>
          <w:sz w:val="20"/>
        </w:rPr>
      </w:pPr>
    </w:p>
    <w:p w14:paraId="211D7537" w14:textId="77777777" w:rsidR="00B20FB4" w:rsidRPr="004402FE" w:rsidRDefault="00B20FB4" w:rsidP="0071740A">
      <w:pPr>
        <w:pStyle w:val="Rubrik2"/>
        <w:ind w:left="851"/>
      </w:pPr>
      <w:r w:rsidRPr="004402FE">
        <w:t>Förvaring</w:t>
      </w:r>
    </w:p>
    <w:p w14:paraId="0226717C" w14:textId="77777777" w:rsidR="00B20FB4" w:rsidRDefault="00B20FB4" w:rsidP="0071740A">
      <w:pPr>
        <w:ind w:left="851" w:right="424"/>
      </w:pPr>
      <w:r w:rsidRPr="00635F67">
        <w:t xml:space="preserve">NovoSeven® och </w:t>
      </w:r>
      <w:r>
        <w:t>Fibryga®</w:t>
      </w:r>
      <w:r w:rsidRPr="00635F67">
        <w:t xml:space="preserve"> förvaras i kylskåpet</w:t>
      </w:r>
      <w:r>
        <w:t xml:space="preserve"> i läkemedelsrummet NÄL.</w:t>
      </w:r>
      <w:r w:rsidRPr="005809C3">
        <w:t xml:space="preserve"> </w:t>
      </w:r>
      <w:r w:rsidRPr="00635F67">
        <w:t xml:space="preserve">NovoSeven® </w:t>
      </w:r>
      <w:r>
        <w:t>tillhör IVA´s antidotförråd men är placerad på operation..</w:t>
      </w:r>
    </w:p>
    <w:p w14:paraId="17DC65DC" w14:textId="77777777" w:rsidR="00B20FB4" w:rsidRPr="00635F67" w:rsidRDefault="00B20FB4" w:rsidP="0071740A">
      <w:pPr>
        <w:ind w:left="851" w:right="424"/>
      </w:pPr>
      <w:r>
        <w:t xml:space="preserve">På Uddevalla sjukhus finns EJ </w:t>
      </w:r>
      <w:r w:rsidRPr="00635F67">
        <w:t xml:space="preserve"> NovoSeven®</w:t>
      </w:r>
      <w:r>
        <w:t xml:space="preserve"> utan får rekvireras från NÄL.</w:t>
      </w:r>
    </w:p>
    <w:p w14:paraId="7D3C6B28" w14:textId="77777777" w:rsidR="00B20FB4" w:rsidRPr="00635F67" w:rsidRDefault="00B20FB4" w:rsidP="0071740A">
      <w:pPr>
        <w:ind w:left="851" w:right="424"/>
        <w:rPr>
          <w:sz w:val="20"/>
        </w:rPr>
      </w:pPr>
    </w:p>
    <w:p w14:paraId="082C5BDF" w14:textId="77777777" w:rsidR="00B20FB4" w:rsidRPr="004402FE" w:rsidRDefault="00B20FB4" w:rsidP="0071740A">
      <w:pPr>
        <w:pStyle w:val="Rubrik2"/>
        <w:ind w:left="851"/>
      </w:pPr>
      <w:r w:rsidRPr="004402FE">
        <w:t>Kontakter</w:t>
      </w:r>
    </w:p>
    <w:p w14:paraId="28CD2DB7" w14:textId="77777777" w:rsidR="00B20FB4" w:rsidRPr="00635F67" w:rsidRDefault="00B20FB4" w:rsidP="0071740A">
      <w:pPr>
        <w:ind w:left="851" w:right="424"/>
      </w:pPr>
      <w:r w:rsidRPr="00635F67">
        <w:t xml:space="preserve">Sahlgrenska Universitetssjukhuset </w:t>
      </w:r>
    </w:p>
    <w:p w14:paraId="625F85B1" w14:textId="77777777" w:rsidR="00B20FB4" w:rsidRPr="00635F67" w:rsidRDefault="00B20FB4" w:rsidP="0071740A">
      <w:pPr>
        <w:ind w:left="851" w:right="424"/>
      </w:pPr>
      <w:r w:rsidRPr="00635F67">
        <w:t>Tfn: 031 – 342 10 00 vx. Begär koagulationscentrum. Under jourtid begär jourhavande läkare koagulationscentrum</w:t>
      </w:r>
      <w:r>
        <w:t>.</w:t>
      </w:r>
    </w:p>
    <w:p w14:paraId="0598CAB2" w14:textId="77777777" w:rsidR="00B20FB4" w:rsidRPr="00991983" w:rsidRDefault="00B20FB4" w:rsidP="0071740A">
      <w:pPr>
        <w:pStyle w:val="Rubrik2"/>
        <w:ind w:left="851" w:right="424"/>
      </w:pPr>
    </w:p>
    <w:p w14:paraId="51A4B7A6" w14:textId="77777777" w:rsidR="00B20FB4" w:rsidRPr="00182A52" w:rsidRDefault="00B20FB4" w:rsidP="0071740A">
      <w:pPr>
        <w:ind w:left="851" w:right="424"/>
      </w:pPr>
      <w:r>
        <w:br/>
      </w:r>
    </w:p>
    <w:p w14:paraId="76B9F95B" w14:textId="24513497" w:rsidR="00536A5A" w:rsidRPr="00B20FB4" w:rsidRDefault="00536A5A" w:rsidP="0071740A">
      <w:pPr>
        <w:ind w:left="851" w:right="424"/>
      </w:pPr>
    </w:p>
    <w:sectPr w:rsidR="00536A5A" w:rsidRPr="00B20FB4" w:rsidSect="00F77D1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A6742D"/>
    <w:multiLevelType w:val="hybridMultilevel"/>
    <w:tmpl w:val="A1DCE8D2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b/>
        <w:i w:val="0"/>
        <w:sz w:val="16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694D52"/>
    <w:multiLevelType w:val="singleLevel"/>
    <w:tmpl w:val="2812C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i w:val="0"/>
        <w:sz w:val="16"/>
      </w:rPr>
    </w:lvl>
  </w:abstractNum>
  <w:abstractNum w:abstractNumId="17" w15:restartNumberingAfterBreak="0">
    <w:nsid w:val="5FF0403C"/>
    <w:multiLevelType w:val="singleLevel"/>
    <w:tmpl w:val="2812C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i w:val="0"/>
        <w:sz w:val="16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6BF58C2"/>
    <w:multiLevelType w:val="singleLevel"/>
    <w:tmpl w:val="2812C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i w:val="0"/>
        <w:sz w:val="16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3756827">
    <w:abstractNumId w:val="21"/>
  </w:num>
  <w:num w:numId="2" w16cid:durableId="632447991">
    <w:abstractNumId w:val="15"/>
  </w:num>
  <w:num w:numId="3" w16cid:durableId="656300430">
    <w:abstractNumId w:val="0"/>
  </w:num>
  <w:num w:numId="4" w16cid:durableId="195195305">
    <w:abstractNumId w:val="7"/>
  </w:num>
  <w:num w:numId="5" w16cid:durableId="96484190">
    <w:abstractNumId w:val="18"/>
  </w:num>
  <w:num w:numId="6" w16cid:durableId="1430540126">
    <w:abstractNumId w:val="2"/>
  </w:num>
  <w:num w:numId="7" w16cid:durableId="348071835">
    <w:abstractNumId w:val="12"/>
  </w:num>
  <w:num w:numId="8" w16cid:durableId="1140998683">
    <w:abstractNumId w:val="9"/>
  </w:num>
  <w:num w:numId="9" w16cid:durableId="11030614">
    <w:abstractNumId w:val="1"/>
  </w:num>
  <w:num w:numId="10" w16cid:durableId="1810441602">
    <w:abstractNumId w:val="1"/>
  </w:num>
  <w:num w:numId="11" w16cid:durableId="832456814">
    <w:abstractNumId w:val="3"/>
  </w:num>
  <w:num w:numId="12" w16cid:durableId="1207108744">
    <w:abstractNumId w:val="4"/>
  </w:num>
  <w:num w:numId="13" w16cid:durableId="66653849">
    <w:abstractNumId w:val="14"/>
  </w:num>
  <w:num w:numId="14" w16cid:durableId="1416323840">
    <w:abstractNumId w:val="10"/>
  </w:num>
  <w:num w:numId="15" w16cid:durableId="637151574">
    <w:abstractNumId w:val="8"/>
  </w:num>
  <w:num w:numId="16" w16cid:durableId="779757432">
    <w:abstractNumId w:val="13"/>
  </w:num>
  <w:num w:numId="17" w16cid:durableId="251935198">
    <w:abstractNumId w:val="5"/>
  </w:num>
  <w:num w:numId="18" w16cid:durableId="1038816962">
    <w:abstractNumId w:val="11"/>
  </w:num>
  <w:num w:numId="19" w16cid:durableId="393085801">
    <w:abstractNumId w:val="20"/>
  </w:num>
  <w:num w:numId="20" w16cid:durableId="220866448">
    <w:abstractNumId w:val="16"/>
  </w:num>
  <w:num w:numId="21" w16cid:durableId="1797989230">
    <w:abstractNumId w:val="19"/>
  </w:num>
  <w:num w:numId="22" w16cid:durableId="1709331119">
    <w:abstractNumId w:val="17"/>
  </w:num>
  <w:num w:numId="23" w16cid:durableId="9848148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40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FB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7D1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274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NovoSeven® (rekombinant faktor VIIA)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2022-05-27T06:05:00.0000000Z</dcterms:created>
  <dcterms:modified xsi:type="dcterms:W3CDTF">2024-02-09T14:26:00.0000000Z</dcterms:modified>
</coreProperties>
</file>