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616656" w14:textId="77777777" w:rsidR="00D54CC8" w:rsidRDefault="00D54CC8" w:rsidP="00F35B05">
      <w:pPr>
        <w:pStyle w:val="Rubrik2"/>
        <w:sectPr w:rsidR="00D54CC8" w:rsidSect="00D54CC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89FAC83" w14:textId="77777777" w:rsidR="00D54CC8" w:rsidRPr="00D54CC8" w:rsidRDefault="00D54CC8" w:rsidP="00D54CC8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D54CC8" w:rsidRPr="00D54CC8" w14:paraId="51ABBDF9" w14:textId="77777777" w:rsidTr="003C6A6E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40A9EB11" w14:textId="019BD914" w:rsidR="00D54CC8" w:rsidRPr="00D54CC8" w:rsidRDefault="00D54CC8" w:rsidP="004A30D8">
            <w:pPr>
              <w:pStyle w:val="Rubrik1"/>
            </w:pPr>
            <w:proofErr w:type="spellStart"/>
            <w:r w:rsidRPr="00D54CC8">
              <w:t>Tranexamsyra</w:t>
            </w:r>
            <w:proofErr w:type="spellEnd"/>
            <w:r w:rsidRPr="00D54CC8">
              <w:t xml:space="preserve"> (</w:t>
            </w:r>
            <w:proofErr w:type="spellStart"/>
            <w:r w:rsidRPr="00D54CC8">
              <w:t>Cyklokapron</w:t>
            </w:r>
            <w:proofErr w:type="spellEnd"/>
            <w:r w:rsidRPr="00D54CC8">
              <w:t xml:space="preserve">, </w:t>
            </w:r>
            <w:proofErr w:type="spellStart"/>
            <w:r w:rsidRPr="00D54CC8">
              <w:t>Statraxen</w:t>
            </w:r>
            <w:proofErr w:type="spellEnd"/>
            <w:r w:rsidRPr="00D54CC8">
              <w:t xml:space="preserve">) vid </w:t>
            </w:r>
            <w:r w:rsidR="00CC05B9">
              <w:t>blödning</w:t>
            </w:r>
          </w:p>
        </w:tc>
      </w:tr>
    </w:tbl>
    <w:bookmarkEnd w:id="0"/>
    <w:p w14:paraId="76B9F95B" w14:textId="4E63FE21" w:rsidR="00536A5A" w:rsidRDefault="0018031E" w:rsidP="0018031E">
      <w:pPr>
        <w:pStyle w:val="Rubrik2"/>
      </w:pPr>
      <w:r>
        <w:t>Revidering i denna version</w:t>
      </w:r>
    </w:p>
    <w:p w14:paraId="78E9FFDC" w14:textId="067E60A8" w:rsidR="0018031E" w:rsidRPr="0018031E" w:rsidRDefault="000C0664" w:rsidP="0018031E">
      <w:r>
        <w:t xml:space="preserve">Förlängd giltighetstid. </w:t>
      </w:r>
    </w:p>
    <w:p w14:paraId="2665B70D" w14:textId="77777777" w:rsidR="00FA615B" w:rsidRDefault="00FA615B" w:rsidP="00FA615B">
      <w:pPr>
        <w:pStyle w:val="Rubrik2"/>
      </w:pPr>
      <w:bookmarkStart w:id="1" w:name="_Toc501440349"/>
      <w:r w:rsidRPr="00FA615B">
        <w:t>Handläggning</w:t>
      </w:r>
    </w:p>
    <w:p w14:paraId="272C2C4A" w14:textId="77777777" w:rsidR="00FA615B" w:rsidRPr="00773D7D" w:rsidRDefault="00BB512D" w:rsidP="00BB512D">
      <w:pPr>
        <w:pStyle w:val="Normalwebb"/>
        <w:ind w:left="993" w:right="424"/>
        <w:rPr>
          <w:color w:val="000000"/>
        </w:rPr>
      </w:pPr>
      <w:proofErr w:type="spellStart"/>
      <w:r>
        <w:rPr>
          <w:color w:val="000000"/>
        </w:rPr>
        <w:t>T</w:t>
      </w:r>
      <w:r w:rsidR="00FA615B" w:rsidRPr="00773D7D">
        <w:rPr>
          <w:color w:val="000000"/>
        </w:rPr>
        <w:t>ranexamsyra</w:t>
      </w:r>
      <w:proofErr w:type="spellEnd"/>
      <w:r w:rsidR="00FA615B" w:rsidRPr="00773D7D">
        <w:rPr>
          <w:color w:val="000000"/>
        </w:rPr>
        <w:t xml:space="preserve"> skall ges </w:t>
      </w:r>
      <w:r w:rsidR="00FA615B">
        <w:rPr>
          <w:color w:val="000000"/>
        </w:rPr>
        <w:t>inom 3h efter skadetillfälle, gärna inom 1h,</w:t>
      </w:r>
      <w:r w:rsidR="00FA615B" w:rsidRPr="00773D7D">
        <w:rPr>
          <w:color w:val="000000"/>
        </w:rPr>
        <w:t xml:space="preserve"> till alla traumapatienter som blöder eller där risk för blödning föreligger</w:t>
      </w:r>
      <w:r w:rsidR="00FA615B">
        <w:rPr>
          <w:color w:val="000000"/>
        </w:rPr>
        <w:t>.</w:t>
      </w:r>
    </w:p>
    <w:p w14:paraId="64ABE00F" w14:textId="77777777" w:rsidR="00FA615B" w:rsidRPr="00773D7D" w:rsidRDefault="00FA615B" w:rsidP="00BB512D">
      <w:pPr>
        <w:pStyle w:val="Normalwebb"/>
        <w:ind w:left="993" w:right="424"/>
        <w:rPr>
          <w:color w:val="000000"/>
        </w:rPr>
      </w:pPr>
      <w:r w:rsidRPr="00773D7D">
        <w:rPr>
          <w:color w:val="000000"/>
        </w:rPr>
        <w:t xml:space="preserve">· </w:t>
      </w:r>
      <w:r w:rsidRPr="003D526F">
        <w:rPr>
          <w:b/>
          <w:bCs/>
          <w:color w:val="000000"/>
        </w:rPr>
        <w:t xml:space="preserve">1g </w:t>
      </w:r>
      <w:proofErr w:type="spellStart"/>
      <w:r w:rsidRPr="003D526F">
        <w:rPr>
          <w:b/>
          <w:bCs/>
          <w:color w:val="000000"/>
        </w:rPr>
        <w:t>Tranexamsyra</w:t>
      </w:r>
      <w:proofErr w:type="spellEnd"/>
      <w:r w:rsidRPr="00773D7D">
        <w:rPr>
          <w:color w:val="000000"/>
        </w:rPr>
        <w:t xml:space="preserve"> (10 ml </w:t>
      </w:r>
      <w:proofErr w:type="spellStart"/>
      <w:r w:rsidRPr="00773D7D">
        <w:rPr>
          <w:color w:val="000000"/>
        </w:rPr>
        <w:t>Statraxen</w:t>
      </w:r>
      <w:proofErr w:type="spellEnd"/>
      <w:r w:rsidRPr="00773D7D">
        <w:rPr>
          <w:color w:val="000000"/>
        </w:rPr>
        <w:t xml:space="preserve"> 100mg/ml eller 10 ml </w:t>
      </w:r>
      <w:proofErr w:type="spellStart"/>
      <w:r w:rsidRPr="00773D7D">
        <w:rPr>
          <w:color w:val="000000"/>
        </w:rPr>
        <w:t>Cyklokapron</w:t>
      </w:r>
      <w:proofErr w:type="spellEnd"/>
      <w:r w:rsidRPr="00773D7D">
        <w:rPr>
          <w:color w:val="000000"/>
        </w:rPr>
        <w:t xml:space="preserve"> 100mg/ml) ges efter ordination</w:t>
      </w:r>
      <w:r>
        <w:rPr>
          <w:color w:val="000000"/>
        </w:rPr>
        <w:t xml:space="preserve"> </w:t>
      </w:r>
      <w:r w:rsidRPr="00773D7D">
        <w:rPr>
          <w:color w:val="000000"/>
        </w:rPr>
        <w:t xml:space="preserve">som </w:t>
      </w:r>
      <w:r w:rsidRPr="003D526F">
        <w:rPr>
          <w:b/>
          <w:bCs/>
          <w:color w:val="000000"/>
        </w:rPr>
        <w:t>intravenös bolusinjektion under ca 10 min</w:t>
      </w:r>
      <w:r w:rsidRPr="00337984">
        <w:rPr>
          <w:color w:val="000000"/>
        </w:rPr>
        <w:t xml:space="preserve"> (Kan ges </w:t>
      </w:r>
      <w:proofErr w:type="spellStart"/>
      <w:r w:rsidRPr="00337984">
        <w:rPr>
          <w:color w:val="000000"/>
        </w:rPr>
        <w:t>intraosseöst</w:t>
      </w:r>
      <w:proofErr w:type="spellEnd"/>
      <w:r w:rsidRPr="00337984">
        <w:rPr>
          <w:color w:val="000000"/>
        </w:rPr>
        <w:t>)</w:t>
      </w:r>
      <w:r>
        <w:rPr>
          <w:color w:val="000000"/>
        </w:rPr>
        <w:t>.</w:t>
      </w:r>
      <w:r w:rsidRPr="00773D7D">
        <w:rPr>
          <w:color w:val="000000"/>
        </w:rPr>
        <w:t xml:space="preserve"> Ges ej om </w:t>
      </w:r>
      <w:r>
        <w:rPr>
          <w:color w:val="000000"/>
        </w:rPr>
        <w:t xml:space="preserve">det </w:t>
      </w:r>
      <w:r w:rsidRPr="00773D7D">
        <w:rPr>
          <w:color w:val="000000"/>
        </w:rPr>
        <w:t xml:space="preserve">redan administrerats </w:t>
      </w:r>
      <w:proofErr w:type="spellStart"/>
      <w:r w:rsidRPr="00773D7D">
        <w:rPr>
          <w:color w:val="000000"/>
        </w:rPr>
        <w:t>prehospitalt</w:t>
      </w:r>
      <w:proofErr w:type="spellEnd"/>
      <w:r w:rsidRPr="00773D7D">
        <w:rPr>
          <w:color w:val="000000"/>
        </w:rPr>
        <w:t>.</w:t>
      </w:r>
    </w:p>
    <w:p w14:paraId="30BF7CBC" w14:textId="77777777" w:rsidR="00FA615B" w:rsidRPr="00773D7D" w:rsidRDefault="00FA615B" w:rsidP="00BB512D">
      <w:pPr>
        <w:pStyle w:val="Normalwebb"/>
        <w:ind w:left="993" w:right="424"/>
        <w:rPr>
          <w:color w:val="000000"/>
        </w:rPr>
      </w:pPr>
      <w:r w:rsidRPr="00773D7D">
        <w:rPr>
          <w:color w:val="000000"/>
        </w:rPr>
        <w:t xml:space="preserve">· </w:t>
      </w:r>
      <w:r w:rsidRPr="00764C48">
        <w:rPr>
          <w:b/>
          <w:bCs/>
          <w:color w:val="000000"/>
        </w:rPr>
        <w:t>Vid fortsatt blödning kan ytterligare</w:t>
      </w:r>
      <w:r w:rsidRPr="003D526F">
        <w:rPr>
          <w:b/>
          <w:bCs/>
          <w:color w:val="000000"/>
        </w:rPr>
        <w:t xml:space="preserve"> 1g </w:t>
      </w:r>
      <w:proofErr w:type="spellStart"/>
      <w:r w:rsidRPr="003D526F">
        <w:rPr>
          <w:b/>
          <w:bCs/>
          <w:color w:val="000000"/>
        </w:rPr>
        <w:t>Tranexamsyra</w:t>
      </w:r>
      <w:proofErr w:type="spellEnd"/>
      <w:r w:rsidRPr="003D526F">
        <w:rPr>
          <w:b/>
          <w:bCs/>
          <w:color w:val="000000"/>
        </w:rPr>
        <w:t xml:space="preserve"> </w:t>
      </w:r>
      <w:r>
        <w:rPr>
          <w:b/>
          <w:bCs/>
          <w:color w:val="000000"/>
        </w:rPr>
        <w:t xml:space="preserve">ges </w:t>
      </w:r>
      <w:r w:rsidRPr="003D526F">
        <w:rPr>
          <w:b/>
          <w:bCs/>
          <w:color w:val="000000"/>
        </w:rPr>
        <w:t>som</w:t>
      </w:r>
      <w:r>
        <w:rPr>
          <w:b/>
          <w:bCs/>
          <w:color w:val="000000"/>
        </w:rPr>
        <w:t xml:space="preserve"> bolusdos alternativt som</w:t>
      </w:r>
      <w:r w:rsidRPr="003D526F">
        <w:rPr>
          <w:b/>
          <w:bCs/>
          <w:color w:val="000000"/>
        </w:rPr>
        <w:t xml:space="preserve"> infusion under 8h.</w:t>
      </w:r>
      <w:r w:rsidRPr="00773D7D">
        <w:rPr>
          <w:color w:val="000000"/>
        </w:rPr>
        <w:t xml:space="preserve"> (1g kan exempelvis tillsättas till 100mL </w:t>
      </w:r>
      <w:proofErr w:type="spellStart"/>
      <w:r w:rsidRPr="00773D7D">
        <w:rPr>
          <w:color w:val="000000"/>
        </w:rPr>
        <w:t>NaCl</w:t>
      </w:r>
      <w:proofErr w:type="spellEnd"/>
      <w:r w:rsidRPr="00773D7D">
        <w:rPr>
          <w:color w:val="000000"/>
        </w:rPr>
        <w:t>, infusionshastighet ca 14mL/h)</w:t>
      </w:r>
      <w:r>
        <w:rPr>
          <w:color w:val="000000"/>
        </w:rPr>
        <w:t>.</w:t>
      </w:r>
    </w:p>
    <w:p w14:paraId="3D21179B" w14:textId="77777777" w:rsidR="00FA615B" w:rsidRPr="00773D7D" w:rsidRDefault="00FA615B" w:rsidP="00BB512D">
      <w:pPr>
        <w:pStyle w:val="Normalwebb"/>
        <w:ind w:left="993" w:right="424"/>
        <w:rPr>
          <w:color w:val="000000"/>
        </w:rPr>
      </w:pPr>
      <w:r w:rsidRPr="00773D7D">
        <w:rPr>
          <w:color w:val="000000"/>
        </w:rPr>
        <w:t xml:space="preserve">· Vid tecken till </w:t>
      </w:r>
      <w:proofErr w:type="spellStart"/>
      <w:r w:rsidRPr="00773D7D">
        <w:rPr>
          <w:color w:val="000000"/>
        </w:rPr>
        <w:t>hyperfibrinolys</w:t>
      </w:r>
      <w:proofErr w:type="spellEnd"/>
      <w:r w:rsidRPr="00773D7D">
        <w:rPr>
          <w:color w:val="000000"/>
        </w:rPr>
        <w:t xml:space="preserve"> vid tagen ROTEM kan ytterligare 1-2g </w:t>
      </w:r>
      <w:proofErr w:type="spellStart"/>
      <w:r w:rsidRPr="00773D7D">
        <w:rPr>
          <w:color w:val="000000"/>
        </w:rPr>
        <w:t>Tranexamsyra</w:t>
      </w:r>
      <w:proofErr w:type="spellEnd"/>
      <w:r w:rsidRPr="00773D7D">
        <w:rPr>
          <w:color w:val="000000"/>
        </w:rPr>
        <w:t xml:space="preserve"> ges som bolusinjektion enligt ovan.</w:t>
      </w:r>
    </w:p>
    <w:p w14:paraId="399370F2" w14:textId="77777777" w:rsidR="00FA615B" w:rsidRDefault="00FA615B" w:rsidP="00BB512D">
      <w:pPr>
        <w:pStyle w:val="Normalwebb"/>
        <w:ind w:left="993" w:right="424"/>
        <w:rPr>
          <w:color w:val="000000"/>
          <w:spacing w:val="7"/>
          <w:shd w:val="clear" w:color="auto" w:fill="FFFFFF"/>
        </w:rPr>
      </w:pPr>
      <w:r w:rsidRPr="00E23082">
        <w:rPr>
          <w:color w:val="000000"/>
        </w:rPr>
        <w:t xml:space="preserve">· </w:t>
      </w:r>
      <w:r w:rsidRPr="00E23082">
        <w:rPr>
          <w:color w:val="000000"/>
          <w:spacing w:val="7"/>
          <w:shd w:val="clear" w:color="auto" w:fill="FFFFFF"/>
        </w:rPr>
        <w:t xml:space="preserve">För </w:t>
      </w:r>
      <w:r w:rsidRPr="00911C44">
        <w:rPr>
          <w:b/>
          <w:bCs/>
          <w:color w:val="000000"/>
          <w:spacing w:val="7"/>
          <w:shd w:val="clear" w:color="auto" w:fill="FFFFFF"/>
        </w:rPr>
        <w:t>barn rekommenderas 15 mg/kg kro</w:t>
      </w:r>
      <w:r>
        <w:rPr>
          <w:b/>
          <w:bCs/>
          <w:color w:val="000000"/>
          <w:spacing w:val="7"/>
          <w:shd w:val="clear" w:color="auto" w:fill="FFFFFF"/>
        </w:rPr>
        <w:t>ppsvikt</w:t>
      </w:r>
      <w:r w:rsidRPr="00E23082">
        <w:rPr>
          <w:color w:val="000000"/>
          <w:spacing w:val="7"/>
          <w:shd w:val="clear" w:color="auto" w:fill="FFFFFF"/>
        </w:rPr>
        <w:t xml:space="preserve"> (</w:t>
      </w:r>
      <w:proofErr w:type="spellStart"/>
      <w:r w:rsidRPr="00E23082">
        <w:rPr>
          <w:color w:val="000000"/>
          <w:spacing w:val="7"/>
          <w:shd w:val="clear" w:color="auto" w:fill="FFFFFF"/>
        </w:rPr>
        <w:t>maxdos</w:t>
      </w:r>
      <w:proofErr w:type="spellEnd"/>
      <w:r w:rsidRPr="00E23082">
        <w:rPr>
          <w:color w:val="000000"/>
          <w:spacing w:val="7"/>
          <w:shd w:val="clear" w:color="auto" w:fill="FFFFFF"/>
        </w:rPr>
        <w:t xml:space="preserve"> 1g)</w:t>
      </w:r>
      <w:r>
        <w:rPr>
          <w:color w:val="000000"/>
          <w:spacing w:val="7"/>
          <w:shd w:val="clear" w:color="auto" w:fill="FFFFFF"/>
        </w:rPr>
        <w:t xml:space="preserve">. </w:t>
      </w:r>
    </w:p>
    <w:p w14:paraId="6860D35F" w14:textId="77777777" w:rsidR="00FA615B" w:rsidRPr="00A8318C" w:rsidRDefault="00FA615B" w:rsidP="00BB512D">
      <w:pPr>
        <w:pStyle w:val="Normalwebb"/>
        <w:ind w:left="993" w:right="424"/>
        <w:rPr>
          <w:rStyle w:val="Formatmall1Char"/>
          <w:b/>
          <w:bCs/>
          <w:color w:val="000000"/>
        </w:rPr>
      </w:pPr>
      <w:r>
        <w:rPr>
          <w:color w:val="000000"/>
          <w:spacing w:val="7"/>
          <w:shd w:val="clear" w:color="auto" w:fill="FFFFFF"/>
        </w:rPr>
        <w:t xml:space="preserve">- </w:t>
      </w:r>
      <w:r w:rsidRPr="00764C48">
        <w:rPr>
          <w:b/>
          <w:bCs/>
          <w:color w:val="000000"/>
        </w:rPr>
        <w:t>Vid fortsatt blödning kan ytterligare</w:t>
      </w:r>
      <w:r w:rsidRPr="003D526F">
        <w:rPr>
          <w:b/>
          <w:bCs/>
          <w:color w:val="000000"/>
        </w:rPr>
        <w:t xml:space="preserve"> </w:t>
      </w:r>
      <w:r>
        <w:rPr>
          <w:b/>
          <w:bCs/>
          <w:color w:val="000000"/>
        </w:rPr>
        <w:t>15 mg/kg</w:t>
      </w:r>
      <w:r w:rsidRPr="003D526F">
        <w:rPr>
          <w:b/>
          <w:bCs/>
          <w:color w:val="000000"/>
        </w:rPr>
        <w:t xml:space="preserve"> </w:t>
      </w:r>
      <w:proofErr w:type="spellStart"/>
      <w:r w:rsidRPr="003D526F">
        <w:rPr>
          <w:b/>
          <w:bCs/>
          <w:color w:val="000000"/>
        </w:rPr>
        <w:t>Tranexamsyra</w:t>
      </w:r>
      <w:proofErr w:type="spellEnd"/>
      <w:r w:rsidRPr="003D526F">
        <w:rPr>
          <w:b/>
          <w:bCs/>
          <w:color w:val="000000"/>
        </w:rPr>
        <w:t xml:space="preserve"> </w:t>
      </w:r>
      <w:r>
        <w:rPr>
          <w:b/>
          <w:bCs/>
          <w:color w:val="000000"/>
        </w:rPr>
        <w:t xml:space="preserve">ges </w:t>
      </w:r>
      <w:r w:rsidRPr="003D526F">
        <w:rPr>
          <w:b/>
          <w:bCs/>
          <w:color w:val="000000"/>
        </w:rPr>
        <w:t>som</w:t>
      </w:r>
      <w:r>
        <w:rPr>
          <w:b/>
          <w:bCs/>
          <w:color w:val="000000"/>
        </w:rPr>
        <w:t xml:space="preserve"> bolusdos alternativt som</w:t>
      </w:r>
      <w:r w:rsidRPr="00AF65D9">
        <w:rPr>
          <w:b/>
          <w:bCs/>
          <w:color w:val="000000"/>
          <w:spacing w:val="7"/>
          <w:shd w:val="clear" w:color="auto" w:fill="FFFFFF"/>
        </w:rPr>
        <w:t xml:space="preserve"> infusion</w:t>
      </w:r>
      <w:r w:rsidRPr="00E23082">
        <w:rPr>
          <w:color w:val="000000"/>
          <w:spacing w:val="7"/>
          <w:shd w:val="clear" w:color="auto" w:fill="FFFFFF"/>
        </w:rPr>
        <w:t xml:space="preserve"> med 2 mg/kg/timme i minst </w:t>
      </w:r>
      <w:r>
        <w:rPr>
          <w:color w:val="000000"/>
          <w:spacing w:val="7"/>
          <w:shd w:val="clear" w:color="auto" w:fill="FFFFFF"/>
        </w:rPr>
        <w:t>8h.</w:t>
      </w:r>
    </w:p>
    <w:p w14:paraId="6599CD15" w14:textId="77777777" w:rsidR="00FA615B" w:rsidRPr="00101B36" w:rsidRDefault="00FA615B" w:rsidP="003C6A6E">
      <w:pPr>
        <w:pStyle w:val="Rubrik2"/>
        <w:ind w:left="993" w:right="424"/>
      </w:pPr>
      <w:bookmarkStart w:id="2" w:name="_Toc501440348"/>
      <w:bookmarkEnd w:id="1"/>
      <w:r w:rsidRPr="00101B36">
        <w:t>Bakgrund</w:t>
      </w:r>
      <w:bookmarkEnd w:id="2"/>
    </w:p>
    <w:p w14:paraId="585D9C35" w14:textId="77777777" w:rsidR="00FA615B" w:rsidRPr="00773D7D" w:rsidRDefault="00FA615B" w:rsidP="003C6A6E">
      <w:pPr>
        <w:pStyle w:val="Normalwebb"/>
        <w:ind w:left="993" w:right="424"/>
        <w:rPr>
          <w:color w:val="000000"/>
        </w:rPr>
      </w:pPr>
      <w:r w:rsidRPr="00773D7D">
        <w:rPr>
          <w:color w:val="000000"/>
        </w:rPr>
        <w:t xml:space="preserve">Blödning är den vanligaste orsaken till död efter trauma. Att snabbt identifiera, kontrollera och åtgärda blödningen är </w:t>
      </w:r>
      <w:r>
        <w:rPr>
          <w:color w:val="000000"/>
        </w:rPr>
        <w:t xml:space="preserve">därför </w:t>
      </w:r>
      <w:r w:rsidRPr="00773D7D">
        <w:rPr>
          <w:color w:val="000000"/>
        </w:rPr>
        <w:t>ofta avgörande för patientens prognos. Risk</w:t>
      </w:r>
      <w:r>
        <w:rPr>
          <w:color w:val="000000"/>
        </w:rPr>
        <w:t xml:space="preserve">en </w:t>
      </w:r>
      <w:r w:rsidRPr="00773D7D">
        <w:rPr>
          <w:color w:val="000000"/>
        </w:rPr>
        <w:t>för koagulationsrubbningar är hög för svårt skadade traumapatienter med blödning.</w:t>
      </w:r>
    </w:p>
    <w:p w14:paraId="1A3E8794" w14:textId="77777777" w:rsidR="00FA615B" w:rsidRPr="00773D7D" w:rsidRDefault="00FA615B" w:rsidP="00CC05B9">
      <w:pPr>
        <w:pStyle w:val="Normalwebb"/>
        <w:ind w:left="1134" w:right="707"/>
        <w:rPr>
          <w:color w:val="000000"/>
        </w:rPr>
      </w:pPr>
      <w:r>
        <w:rPr>
          <w:color w:val="000000"/>
        </w:rPr>
        <w:lastRenderedPageBreak/>
        <w:t>B</w:t>
      </w:r>
      <w:r w:rsidRPr="00773D7D">
        <w:rPr>
          <w:color w:val="000000"/>
        </w:rPr>
        <w:t>ehandling</w:t>
      </w:r>
      <w:r>
        <w:rPr>
          <w:color w:val="000000"/>
        </w:rPr>
        <w:t xml:space="preserve"> med </w:t>
      </w:r>
      <w:proofErr w:type="spellStart"/>
      <w:r>
        <w:rPr>
          <w:color w:val="000000"/>
        </w:rPr>
        <w:t>Tranexamsyra</w:t>
      </w:r>
      <w:proofErr w:type="spellEnd"/>
      <w:r w:rsidRPr="00773D7D">
        <w:rPr>
          <w:color w:val="000000"/>
        </w:rPr>
        <w:t xml:space="preserve"> vid traumatiska blödningar</w:t>
      </w:r>
      <w:r>
        <w:rPr>
          <w:color w:val="000000"/>
        </w:rPr>
        <w:t xml:space="preserve"> och vid isolerade traumatiska hjärnskador</w:t>
      </w:r>
      <w:r w:rsidRPr="00773D7D">
        <w:rPr>
          <w:color w:val="000000"/>
        </w:rPr>
        <w:t xml:space="preserve"> har i flera europeiska och amerikanska studier visat att chans till överlevnad ökat när administ</w:t>
      </w:r>
      <w:r>
        <w:rPr>
          <w:color w:val="000000"/>
        </w:rPr>
        <w:t>ration skett</w:t>
      </w:r>
      <w:r w:rsidRPr="00773D7D">
        <w:rPr>
          <w:color w:val="000000"/>
        </w:rPr>
        <w:t xml:space="preserve"> inom 3h efter skadetillfället, helst inom 1h.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Tranexamsyra</w:t>
      </w:r>
      <w:proofErr w:type="spellEnd"/>
      <w:r>
        <w:rPr>
          <w:color w:val="000000"/>
        </w:rPr>
        <w:t xml:space="preserve"> givet efter 3h ger i stället en ökad blödningsmortalitet. </w:t>
      </w:r>
      <w:r w:rsidRPr="00773D7D">
        <w:rPr>
          <w:color w:val="000000"/>
        </w:rPr>
        <w:t xml:space="preserve">Enligt Europeiska </w:t>
      </w:r>
      <w:proofErr w:type="spellStart"/>
      <w:r w:rsidRPr="00773D7D">
        <w:rPr>
          <w:color w:val="000000"/>
        </w:rPr>
        <w:t>Guidelines</w:t>
      </w:r>
      <w:proofErr w:type="spellEnd"/>
      <w:r w:rsidRPr="00773D7D">
        <w:rPr>
          <w:color w:val="000000"/>
        </w:rPr>
        <w:t xml:space="preserve"> rekommenderas därför </w:t>
      </w:r>
      <w:proofErr w:type="spellStart"/>
      <w:r w:rsidRPr="00773D7D">
        <w:rPr>
          <w:color w:val="000000"/>
        </w:rPr>
        <w:t>Tranexamsyra</w:t>
      </w:r>
      <w:proofErr w:type="spellEnd"/>
      <w:r w:rsidRPr="00773D7D">
        <w:rPr>
          <w:color w:val="000000"/>
        </w:rPr>
        <w:t xml:space="preserve"> till alla patienter som blöder eller där risk för blödning föreligger.</w:t>
      </w:r>
    </w:p>
    <w:p w14:paraId="6BE408F0" w14:textId="77777777" w:rsidR="00FA615B" w:rsidRPr="00773D7D" w:rsidRDefault="00FA615B" w:rsidP="00CC05B9">
      <w:pPr>
        <w:pStyle w:val="Normalwebb"/>
        <w:ind w:left="1134" w:right="707"/>
        <w:rPr>
          <w:color w:val="000000"/>
        </w:rPr>
      </w:pPr>
      <w:proofErr w:type="spellStart"/>
      <w:r w:rsidRPr="00773D7D">
        <w:rPr>
          <w:color w:val="000000"/>
        </w:rPr>
        <w:t>Tranexamsyra</w:t>
      </w:r>
      <w:proofErr w:type="spellEnd"/>
      <w:r w:rsidRPr="00773D7D">
        <w:rPr>
          <w:color w:val="000000"/>
        </w:rPr>
        <w:t xml:space="preserve"> är ett syntetiskt derivat av Lysin </w:t>
      </w:r>
      <w:r>
        <w:rPr>
          <w:color w:val="000000"/>
        </w:rPr>
        <w:t>som</w:t>
      </w:r>
      <w:r w:rsidRPr="00773D7D">
        <w:rPr>
          <w:color w:val="000000"/>
        </w:rPr>
        <w:t xml:space="preserve"> utövar sin </w:t>
      </w:r>
      <w:proofErr w:type="spellStart"/>
      <w:r w:rsidRPr="00773D7D">
        <w:rPr>
          <w:color w:val="000000"/>
        </w:rPr>
        <w:t>antifibrinolytiska</w:t>
      </w:r>
      <w:proofErr w:type="spellEnd"/>
      <w:r w:rsidRPr="00773D7D">
        <w:rPr>
          <w:color w:val="000000"/>
        </w:rPr>
        <w:t xml:space="preserve"> effekt genom att </w:t>
      </w:r>
      <w:proofErr w:type="spellStart"/>
      <w:r w:rsidRPr="00773D7D">
        <w:rPr>
          <w:color w:val="000000"/>
        </w:rPr>
        <w:t>komp</w:t>
      </w:r>
      <w:r>
        <w:rPr>
          <w:color w:val="000000"/>
        </w:rPr>
        <w:t>etitivt</w:t>
      </w:r>
      <w:proofErr w:type="spellEnd"/>
      <w:r w:rsidRPr="00773D7D">
        <w:rPr>
          <w:color w:val="000000"/>
        </w:rPr>
        <w:t xml:space="preserve"> och reversibelt hämma aktiveringen av </w:t>
      </w:r>
      <w:proofErr w:type="spellStart"/>
      <w:r w:rsidRPr="00773D7D">
        <w:rPr>
          <w:color w:val="000000"/>
        </w:rPr>
        <w:t>plasminogen</w:t>
      </w:r>
      <w:proofErr w:type="spellEnd"/>
      <w:r w:rsidRPr="00773D7D">
        <w:rPr>
          <w:color w:val="000000"/>
        </w:rPr>
        <w:t xml:space="preserve"> till </w:t>
      </w:r>
      <w:proofErr w:type="spellStart"/>
      <w:r w:rsidRPr="00773D7D">
        <w:rPr>
          <w:color w:val="000000"/>
        </w:rPr>
        <w:t>plasmin</w:t>
      </w:r>
      <w:proofErr w:type="spellEnd"/>
      <w:r w:rsidRPr="00773D7D">
        <w:rPr>
          <w:color w:val="000000"/>
        </w:rPr>
        <w:t xml:space="preserve"> via lysinbindande strukturer. Således </w:t>
      </w:r>
      <w:r>
        <w:rPr>
          <w:color w:val="000000"/>
        </w:rPr>
        <w:t>motverkas</w:t>
      </w:r>
      <w:r w:rsidRPr="00773D7D">
        <w:rPr>
          <w:color w:val="000000"/>
        </w:rPr>
        <w:t xml:space="preserve"> </w:t>
      </w:r>
      <w:r>
        <w:rPr>
          <w:color w:val="000000"/>
        </w:rPr>
        <w:t xml:space="preserve">nedbrytning av </w:t>
      </w:r>
      <w:r w:rsidRPr="00773D7D">
        <w:rPr>
          <w:color w:val="000000"/>
        </w:rPr>
        <w:t>koagulerat blod vilket i sin tur leder till mi</w:t>
      </w:r>
      <w:r>
        <w:rPr>
          <w:color w:val="000000"/>
        </w:rPr>
        <w:t>nskad</w:t>
      </w:r>
      <w:r w:rsidRPr="00773D7D">
        <w:rPr>
          <w:color w:val="000000"/>
        </w:rPr>
        <w:t xml:space="preserve"> blodförlust och snabbare läkningsprocess.</w:t>
      </w:r>
    </w:p>
    <w:p w14:paraId="2637C6AA" w14:textId="77777777" w:rsidR="00FA615B" w:rsidRPr="00101B36" w:rsidRDefault="00FA615B" w:rsidP="00CC05B9">
      <w:pPr>
        <w:pStyle w:val="Rubrik2"/>
        <w:ind w:left="1134" w:right="707"/>
      </w:pPr>
      <w:r w:rsidRPr="00101B36">
        <w:t>Syfte</w:t>
      </w:r>
    </w:p>
    <w:p w14:paraId="44CD3BC1" w14:textId="77777777" w:rsidR="00FA615B" w:rsidRPr="00A8318C" w:rsidRDefault="00FA615B" w:rsidP="00CC05B9">
      <w:pPr>
        <w:pStyle w:val="Normalwebb"/>
        <w:ind w:left="1134" w:right="707"/>
        <w:rPr>
          <w:color w:val="000000"/>
        </w:rPr>
      </w:pPr>
      <w:r w:rsidRPr="00773D7D">
        <w:rPr>
          <w:color w:val="000000"/>
        </w:rPr>
        <w:t xml:space="preserve">Rutin för användning av </w:t>
      </w:r>
      <w:proofErr w:type="spellStart"/>
      <w:r w:rsidRPr="00773D7D">
        <w:rPr>
          <w:color w:val="000000"/>
        </w:rPr>
        <w:t>Tranexamsyra</w:t>
      </w:r>
      <w:proofErr w:type="spellEnd"/>
      <w:r w:rsidRPr="00773D7D">
        <w:rPr>
          <w:color w:val="000000"/>
        </w:rPr>
        <w:t xml:space="preserve"> vid trauma (blödning) i NU-sjukvården</w:t>
      </w:r>
    </w:p>
    <w:p w14:paraId="107A2658" w14:textId="77777777" w:rsidR="00FA615B" w:rsidRPr="005234F6" w:rsidRDefault="00FA615B" w:rsidP="00CC05B9">
      <w:pPr>
        <w:pStyle w:val="Rubrik2"/>
        <w:ind w:left="1134" w:right="707"/>
        <w:rPr>
          <w:lang w:val="en-US"/>
        </w:rPr>
      </w:pPr>
      <w:bookmarkStart w:id="3" w:name="_Toc501440351"/>
      <w:proofErr w:type="spellStart"/>
      <w:r w:rsidRPr="005234F6">
        <w:rPr>
          <w:lang w:val="en-US"/>
        </w:rPr>
        <w:t>Referenser</w:t>
      </w:r>
      <w:proofErr w:type="spellEnd"/>
    </w:p>
    <w:p w14:paraId="391DBF88" w14:textId="77777777" w:rsidR="00FA615B" w:rsidRDefault="00FA615B" w:rsidP="00CC05B9">
      <w:pPr>
        <w:pStyle w:val="Normalwebb"/>
        <w:shd w:val="clear" w:color="auto" w:fill="FFFFFF"/>
        <w:spacing w:before="0" w:beforeAutospacing="0" w:after="300" w:afterAutospacing="0"/>
        <w:ind w:left="1134" w:right="707"/>
        <w:rPr>
          <w:lang w:val="en-US"/>
        </w:rPr>
      </w:pPr>
      <w:r w:rsidRPr="00AF039F">
        <w:rPr>
          <w:lang w:val="en-US"/>
        </w:rPr>
        <w:t xml:space="preserve">CRASH-2 trial collaborators; Shakur H, Roberts I, Bautista R, et al. Effects of tranexamic acid on death, vascular occlusive events, and blood transfusion in trauma patients with significant </w:t>
      </w:r>
      <w:proofErr w:type="spellStart"/>
      <w:r w:rsidRPr="00AF039F">
        <w:rPr>
          <w:lang w:val="en-US"/>
        </w:rPr>
        <w:t>haemorrhage</w:t>
      </w:r>
      <w:proofErr w:type="spellEnd"/>
      <w:r w:rsidRPr="00AF039F">
        <w:rPr>
          <w:lang w:val="en-US"/>
        </w:rPr>
        <w:t xml:space="preserve"> (CRASH-2): a </w:t>
      </w:r>
      <w:proofErr w:type="spellStart"/>
      <w:r w:rsidRPr="00AF039F">
        <w:rPr>
          <w:lang w:val="en-US"/>
        </w:rPr>
        <w:t>randomised</w:t>
      </w:r>
      <w:proofErr w:type="spellEnd"/>
      <w:r w:rsidRPr="00AF039F">
        <w:rPr>
          <w:lang w:val="en-US"/>
        </w:rPr>
        <w:t xml:space="preserve">, placebo-controlled trial. </w:t>
      </w:r>
      <w:r w:rsidRPr="00EE33FE">
        <w:rPr>
          <w:lang w:val="en-US"/>
        </w:rPr>
        <w:t xml:space="preserve">Lancet. 2010;376(9734):23-32. </w:t>
      </w:r>
    </w:p>
    <w:p w14:paraId="45499BC6" w14:textId="77777777" w:rsidR="00FA615B" w:rsidRDefault="00FA615B" w:rsidP="00CC05B9">
      <w:pPr>
        <w:pStyle w:val="Normalwebb"/>
        <w:shd w:val="clear" w:color="auto" w:fill="FFFFFF"/>
        <w:spacing w:before="0" w:beforeAutospacing="0" w:after="300" w:afterAutospacing="0"/>
        <w:ind w:left="1134" w:right="707"/>
        <w:rPr>
          <w:lang w:val="en-US"/>
        </w:rPr>
      </w:pPr>
      <w:r w:rsidRPr="006B1281">
        <w:rPr>
          <w:lang w:val="en-US"/>
        </w:rPr>
        <w:t xml:space="preserve">CRASH-3 trial collaborators. Effects of tranexamic acid on death, disability, vascular occlusive events and other morbidities in patients with acute traumatic brain injury (CRASH-3): a </w:t>
      </w:r>
      <w:proofErr w:type="spellStart"/>
      <w:r w:rsidRPr="006B1281">
        <w:rPr>
          <w:lang w:val="en-US"/>
        </w:rPr>
        <w:t>randomised</w:t>
      </w:r>
      <w:proofErr w:type="spellEnd"/>
      <w:r w:rsidRPr="006B1281">
        <w:rPr>
          <w:lang w:val="en-US"/>
        </w:rPr>
        <w:t xml:space="preserve">, placebo-controlled trial. </w:t>
      </w:r>
      <w:r w:rsidRPr="00CD509B">
        <w:rPr>
          <w:lang w:val="en-US"/>
        </w:rPr>
        <w:t>Lancet. 2019;394(10210):1713-23.</w:t>
      </w:r>
    </w:p>
    <w:p w14:paraId="33E9CCD4" w14:textId="77777777" w:rsidR="00FA615B" w:rsidRPr="00696335" w:rsidRDefault="00FA615B" w:rsidP="00CC05B9">
      <w:pPr>
        <w:pStyle w:val="Normalwebb"/>
        <w:shd w:val="clear" w:color="auto" w:fill="FFFFFF"/>
        <w:spacing w:before="0" w:beforeAutospacing="0" w:after="300" w:afterAutospacing="0"/>
        <w:ind w:left="1134" w:right="707"/>
        <w:rPr>
          <w:lang w:val="en-US"/>
        </w:rPr>
      </w:pPr>
      <w:r w:rsidRPr="00696335">
        <w:rPr>
          <w:lang w:val="en-US"/>
        </w:rPr>
        <w:t xml:space="preserve">Royal College of </w:t>
      </w:r>
      <w:proofErr w:type="spellStart"/>
      <w:r w:rsidRPr="00696335">
        <w:rPr>
          <w:lang w:val="en-US"/>
        </w:rPr>
        <w:t>Paediatrics</w:t>
      </w:r>
      <w:proofErr w:type="spellEnd"/>
      <w:r w:rsidRPr="00696335">
        <w:rPr>
          <w:lang w:val="en-US"/>
        </w:rPr>
        <w:t xml:space="preserve"> and Child Health; Major trauma and the use of tranexamic acid in children, Evidence Statement, November 2012</w:t>
      </w:r>
    </w:p>
    <w:bookmarkEnd w:id="3"/>
    <w:p w14:paraId="2B63A8F3" w14:textId="77777777" w:rsidR="00FA615B" w:rsidRDefault="00FA615B" w:rsidP="00FA615B">
      <w:pPr>
        <w:ind w:left="851" w:right="424"/>
      </w:pPr>
    </w:p>
    <w:p w14:paraId="71115A81" w14:textId="77777777" w:rsidR="00FA615B" w:rsidRPr="00536A5A" w:rsidRDefault="00FA615B" w:rsidP="00FA615B">
      <w:pPr>
        <w:keepNext/>
        <w:spacing w:before="240" w:after="60" w:line="240" w:lineRule="auto"/>
        <w:ind w:left="851" w:right="424"/>
        <w:outlineLvl w:val="1"/>
      </w:pPr>
    </w:p>
    <w:sectPr w:rsidR="00FA615B" w:rsidRPr="00536A5A" w:rsidSect="00D54CC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C84168" w14:textId="77777777" w:rsidR="00363B23" w:rsidRDefault="00363B23">
      <w:r>
        <w:separator/>
      </w:r>
    </w:p>
  </w:endnote>
  <w:endnote w:type="continuationSeparator" w:id="0">
    <w:p w14:paraId="3E753B8B" w14:textId="77777777" w:rsidR="00363B23" w:rsidRDefault="00363B23">
      <w:r>
        <w:continuationSeparator/>
      </w:r>
    </w:p>
  </w:endnote>
  <w:endnote w:type="continuationNotice" w:id="1">
    <w:p w14:paraId="0EFB5DFD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5E0F37" w14:textId="77777777" w:rsidR="00363B23" w:rsidRDefault="00363B23"/>
  </w:footnote>
  <w:footnote w:type="continuationSeparator" w:id="0">
    <w:p w14:paraId="750DD271" w14:textId="77777777" w:rsidR="00363B23" w:rsidRDefault="00363B23">
      <w:r>
        <w:continuationSeparator/>
      </w:r>
    </w:p>
  </w:footnote>
  <w:footnote w:type="continuationNotice" w:id="1">
    <w:p w14:paraId="2DA54332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82465132">
    <w:abstractNumId w:val="17"/>
  </w:num>
  <w:num w:numId="2" w16cid:durableId="1039279821">
    <w:abstractNumId w:val="14"/>
  </w:num>
  <w:num w:numId="3" w16cid:durableId="1638336008">
    <w:abstractNumId w:val="0"/>
  </w:num>
  <w:num w:numId="4" w16cid:durableId="2047220396">
    <w:abstractNumId w:val="6"/>
  </w:num>
  <w:num w:numId="5" w16cid:durableId="826820155">
    <w:abstractNumId w:val="15"/>
  </w:num>
  <w:num w:numId="6" w16cid:durableId="429205429">
    <w:abstractNumId w:val="2"/>
  </w:num>
  <w:num w:numId="7" w16cid:durableId="1238788951">
    <w:abstractNumId w:val="11"/>
  </w:num>
  <w:num w:numId="8" w16cid:durableId="748382316">
    <w:abstractNumId w:val="8"/>
  </w:num>
  <w:num w:numId="9" w16cid:durableId="39205846">
    <w:abstractNumId w:val="1"/>
  </w:num>
  <w:num w:numId="10" w16cid:durableId="1350184537">
    <w:abstractNumId w:val="1"/>
  </w:num>
  <w:num w:numId="11" w16cid:durableId="200628081">
    <w:abstractNumId w:val="3"/>
  </w:num>
  <w:num w:numId="12" w16cid:durableId="1712151611">
    <w:abstractNumId w:val="4"/>
  </w:num>
  <w:num w:numId="13" w16cid:durableId="577515433">
    <w:abstractNumId w:val="13"/>
  </w:num>
  <w:num w:numId="14" w16cid:durableId="409696854">
    <w:abstractNumId w:val="9"/>
  </w:num>
  <w:num w:numId="15" w16cid:durableId="450704557">
    <w:abstractNumId w:val="7"/>
  </w:num>
  <w:num w:numId="16" w16cid:durableId="243614880">
    <w:abstractNumId w:val="12"/>
  </w:num>
  <w:num w:numId="17" w16cid:durableId="1912351147">
    <w:abstractNumId w:val="5"/>
  </w:num>
  <w:num w:numId="18" w16cid:durableId="1939483639">
    <w:abstractNumId w:val="10"/>
  </w:num>
  <w:num w:numId="19" w16cid:durableId="59979819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0664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031E"/>
    <w:rsid w:val="00181FDC"/>
    <w:rsid w:val="001860B9"/>
    <w:rsid w:val="00186F2B"/>
    <w:rsid w:val="001874D6"/>
    <w:rsid w:val="0019632A"/>
    <w:rsid w:val="001A4E7C"/>
    <w:rsid w:val="001B762C"/>
    <w:rsid w:val="001C21EE"/>
    <w:rsid w:val="001C4D0A"/>
    <w:rsid w:val="001C5FEF"/>
    <w:rsid w:val="00206CE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7B5C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6A6E"/>
    <w:rsid w:val="003D099E"/>
    <w:rsid w:val="003D21A2"/>
    <w:rsid w:val="003D29D2"/>
    <w:rsid w:val="003E0705"/>
    <w:rsid w:val="003E2FF7"/>
    <w:rsid w:val="003F1013"/>
    <w:rsid w:val="003F1ACF"/>
    <w:rsid w:val="0040027B"/>
    <w:rsid w:val="00401C52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3FCA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0D8"/>
    <w:rsid w:val="004A355D"/>
    <w:rsid w:val="004A4970"/>
    <w:rsid w:val="004B2183"/>
    <w:rsid w:val="004B2A01"/>
    <w:rsid w:val="004C2559"/>
    <w:rsid w:val="004D7BA3"/>
    <w:rsid w:val="004F4518"/>
    <w:rsid w:val="004F4C62"/>
    <w:rsid w:val="005001CA"/>
    <w:rsid w:val="00501433"/>
    <w:rsid w:val="00511CC4"/>
    <w:rsid w:val="005203BD"/>
    <w:rsid w:val="00531E60"/>
    <w:rsid w:val="00536A5A"/>
    <w:rsid w:val="00541D07"/>
    <w:rsid w:val="00544BAB"/>
    <w:rsid w:val="00545F31"/>
    <w:rsid w:val="0054610A"/>
    <w:rsid w:val="005533C5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22F1"/>
    <w:rsid w:val="00632879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36D0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620C"/>
    <w:rsid w:val="007A5C6F"/>
    <w:rsid w:val="007D4241"/>
    <w:rsid w:val="007D4317"/>
    <w:rsid w:val="007D4EA3"/>
    <w:rsid w:val="007F1CFF"/>
    <w:rsid w:val="007F5DD5"/>
    <w:rsid w:val="00820CD1"/>
    <w:rsid w:val="00821A1B"/>
    <w:rsid w:val="00825893"/>
    <w:rsid w:val="008262E9"/>
    <w:rsid w:val="00827E69"/>
    <w:rsid w:val="00832B43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575E"/>
    <w:rsid w:val="009471BF"/>
    <w:rsid w:val="00950E4E"/>
    <w:rsid w:val="009529BD"/>
    <w:rsid w:val="009533B4"/>
    <w:rsid w:val="00971D93"/>
    <w:rsid w:val="009B0BD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AF7F99"/>
    <w:rsid w:val="00B046D8"/>
    <w:rsid w:val="00B13F4C"/>
    <w:rsid w:val="00B16219"/>
    <w:rsid w:val="00B16C59"/>
    <w:rsid w:val="00B33FDD"/>
    <w:rsid w:val="00B359CC"/>
    <w:rsid w:val="00B36107"/>
    <w:rsid w:val="00B40CAD"/>
    <w:rsid w:val="00B41789"/>
    <w:rsid w:val="00B46C03"/>
    <w:rsid w:val="00B60C6C"/>
    <w:rsid w:val="00B619A9"/>
    <w:rsid w:val="00B65A9D"/>
    <w:rsid w:val="00B66D60"/>
    <w:rsid w:val="00B74897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512D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0B55"/>
    <w:rsid w:val="00C97BD3"/>
    <w:rsid w:val="00CA39EF"/>
    <w:rsid w:val="00CA521F"/>
    <w:rsid w:val="00CB0493"/>
    <w:rsid w:val="00CB17FF"/>
    <w:rsid w:val="00CB1ED7"/>
    <w:rsid w:val="00CC05B9"/>
    <w:rsid w:val="00CC167C"/>
    <w:rsid w:val="00CC52D9"/>
    <w:rsid w:val="00CC5A31"/>
    <w:rsid w:val="00CD6647"/>
    <w:rsid w:val="00CE4B73"/>
    <w:rsid w:val="00CF70BB"/>
    <w:rsid w:val="00D074DB"/>
    <w:rsid w:val="00D139CF"/>
    <w:rsid w:val="00D37E7F"/>
    <w:rsid w:val="00D47AD7"/>
    <w:rsid w:val="00D51529"/>
    <w:rsid w:val="00D54CC8"/>
    <w:rsid w:val="00D85218"/>
    <w:rsid w:val="00D915B1"/>
    <w:rsid w:val="00DA299D"/>
    <w:rsid w:val="00DA65C4"/>
    <w:rsid w:val="00DC3400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3D4A"/>
    <w:rsid w:val="00EB6714"/>
    <w:rsid w:val="00EC0A68"/>
    <w:rsid w:val="00EC5006"/>
    <w:rsid w:val="00ED49C3"/>
    <w:rsid w:val="00ED6CE8"/>
    <w:rsid w:val="00ED7AA6"/>
    <w:rsid w:val="00EE2A56"/>
    <w:rsid w:val="00EE3818"/>
    <w:rsid w:val="00F20368"/>
    <w:rsid w:val="00F22264"/>
    <w:rsid w:val="00F2564D"/>
    <w:rsid w:val="00F35B05"/>
    <w:rsid w:val="00F413D9"/>
    <w:rsid w:val="00F5135F"/>
    <w:rsid w:val="00F51F78"/>
    <w:rsid w:val="00F86F47"/>
    <w:rsid w:val="00F90B64"/>
    <w:rsid w:val="00FA615B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B13EA126-5866-46C0-BC02-32DCFF2966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FA615B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6</TotalTime>
  <Pages>2</Pages>
  <Words>376</Words>
  <Characters>2430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2801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Tranexamsyra (Cyklokapron, Statraxen) vid trauma (blödning)</dc:title>
  <dc:subject/>
  <dc:creator>patrik.jens.johansson@vgregion.se</dc:creator>
  <keywords/>
  <lastModifiedBy>Carina Isbrand Fransson</lastModifiedBy>
  <revision>17</revision>
  <lastPrinted>2016-03-31T19:56:00.0000000Z</lastPrinted>
  <dcterms:created xsi:type="dcterms:W3CDTF">2022-05-24T13:14:00.0000000Z</dcterms:created>
  <dcterms:modified xsi:type="dcterms:W3CDTF">2025-01-07T12:42:00.0000000Z</dcterms:modified>
</coreProperties>
</file>