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C26EB" w:rsidP="007521D4" w:rsidRDefault="002C26EB" w14:paraId="1BBCD235" w14:textId="77777777">
      <w:pPr>
        <w:pStyle w:val="Rubrik2"/>
        <w:ind w:right="140"/>
        <w:sectPr w:rsidR="002C26EB" w:rsidSect="002C26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C26EB" w:rsidR="002C26EB" w:rsidP="007521D4" w:rsidRDefault="002C26EB" w14:paraId="35D8FD0B" w14:textId="77777777">
      <w:pPr>
        <w:pStyle w:val="Rubrik1"/>
        <w:ind w:right="140"/>
      </w:pPr>
      <w:bookmarkStart w:name="_Toc501440349" w:id="1"/>
      <w:r w:rsidRPr="002C26EB">
        <w:t>PONV profylax och behandling</w:t>
      </w:r>
    </w:p>
    <w:p w:rsidR="00D13DE4" w:rsidP="007521D4" w:rsidRDefault="00D13DE4" w14:paraId="361D5685" w14:textId="77777777">
      <w:pPr>
        <w:pStyle w:val="Rubrik2"/>
        <w:ind w:right="140"/>
      </w:pPr>
    </w:p>
    <w:p w:rsidRPr="002C26EB" w:rsidR="002C26EB" w:rsidP="007521D4" w:rsidRDefault="002C26EB" w14:paraId="607054E7" w14:textId="690669FF">
      <w:pPr>
        <w:pStyle w:val="Rubrik2"/>
        <w:ind w:right="140"/>
      </w:pPr>
      <w:r w:rsidR="0D02E1C0">
        <w:rPr/>
        <w:t>Revidering i denna version</w:t>
      </w:r>
      <w:bookmarkEnd w:id="1"/>
      <w:r w:rsidR="0D02E1C0">
        <w:rPr/>
        <w:t>:</w:t>
      </w:r>
    </w:p>
    <w:p w:rsidR="09D347B2" w:rsidP="548DFB4B" w:rsidRDefault="09D347B2" w14:paraId="3F886E13" w14:textId="2F426986">
      <w:pPr>
        <w:spacing w:before="0" w:beforeAutospacing="off" w:after="0" w:afterAutospacing="off"/>
        <w:ind w:left="992" w:right="140"/>
      </w:pPr>
      <w:r w:rsidRPr="548DFB4B" w:rsidR="09D347B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 flesta stycken har reviderats</w:t>
      </w:r>
    </w:p>
    <w:p w:rsidRPr="007521D4" w:rsidR="002C26EB" w:rsidP="007521D4" w:rsidRDefault="002C26EB" w14:paraId="5BFCD3FB" w14:textId="60556EEB">
      <w:pPr>
        <w:pStyle w:val="Rubrik2"/>
        <w:ind w:right="140"/>
      </w:pPr>
      <w:bookmarkStart w:name="_Toc501440348" w:id="2"/>
      <w:r w:rsidR="0D02E1C0">
        <w:rPr/>
        <w:t>Bakgrund</w:t>
      </w:r>
      <w:bookmarkEnd w:id="2"/>
    </w:p>
    <w:p w:rsidRPr="002C26EB" w:rsidR="002C26EB" w:rsidP="548DFB4B" w:rsidRDefault="002C26EB" w14:paraId="0D5D21D9" w14:textId="3A51FB77">
      <w:pPr>
        <w:spacing w:before="0" w:beforeAutospacing="off" w:after="160" w:afterAutospacing="off" w:line="257" w:lineRule="auto"/>
        <w:ind w:left="992" w:right="140"/>
      </w:pPr>
      <w:r w:rsidRPr="548DFB4B" w:rsidR="4FA59B83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Postoperativt illamående och kräkning, eller det engelska "Postoperative </w:t>
      </w:r>
      <w:r w:rsidRPr="548DFB4B" w:rsidR="4FA59B83">
        <w:rPr>
          <w:rFonts w:ascii="Calibri" w:hAnsi="Calibri" w:eastAsia="Calibri" w:cs="Calibri"/>
          <w:noProof w:val="0"/>
          <w:sz w:val="24"/>
          <w:szCs w:val="24"/>
          <w:lang w:val="sv-SE"/>
        </w:rPr>
        <w:t>nausea</w:t>
      </w:r>
      <w:r w:rsidRPr="548DFB4B" w:rsidR="4FA59B83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and </w:t>
      </w:r>
      <w:r w:rsidRPr="548DFB4B" w:rsidR="4FA59B83">
        <w:rPr>
          <w:rFonts w:ascii="Calibri" w:hAnsi="Calibri" w:eastAsia="Calibri" w:cs="Calibri"/>
          <w:noProof w:val="0"/>
          <w:sz w:val="24"/>
          <w:szCs w:val="24"/>
          <w:lang w:val="sv-SE"/>
        </w:rPr>
        <w:t>vomiting</w:t>
      </w:r>
      <w:r w:rsidRPr="548DFB4B" w:rsidR="4FA59B83">
        <w:rPr>
          <w:rFonts w:ascii="Calibri" w:hAnsi="Calibri" w:eastAsia="Calibri" w:cs="Calibri"/>
          <w:noProof w:val="0"/>
          <w:sz w:val="24"/>
          <w:szCs w:val="24"/>
          <w:lang w:val="sv-SE"/>
        </w:rPr>
        <w:t>" (PONV) som oftare används, har beskrivits som ”det stora lilla problemet”. PONV är den vanligaste orsaken till oplanerad inläggning efter dagkirurgi. Den är multifaktoriell och behandlingen bör vara multimodal.</w:t>
      </w:r>
    </w:p>
    <w:p w:rsidRPr="007521D4" w:rsidR="002C26EB" w:rsidP="007521D4" w:rsidRDefault="002C26EB" w14:paraId="48E83741" w14:textId="77777777">
      <w:pPr>
        <w:pStyle w:val="Rubrik2"/>
        <w:ind w:right="140"/>
      </w:pPr>
      <w:bookmarkStart w:name="_Toc501440350" w:id="3"/>
      <w:r w:rsidRPr="007521D4">
        <w:t xml:space="preserve">Syfte </w:t>
      </w:r>
      <w:bookmarkEnd w:id="3"/>
    </w:p>
    <w:p w:rsidRPr="002C26EB" w:rsidR="002C26EB" w:rsidP="007521D4" w:rsidRDefault="002C26EB" w14:paraId="0F9CA603" w14:textId="77777777">
      <w:pPr>
        <w:spacing w:after="160" w:line="259" w:lineRule="auto"/>
        <w:ind w:right="140"/>
        <w:rPr>
          <w:rFonts w:ascii="Calibri" w:hAnsi="Calibri" w:eastAsia="Calibri" w:cs="Calibri"/>
          <w:szCs w:val="20"/>
        </w:rPr>
      </w:pPr>
      <w:bookmarkStart w:name="_Toc501440351" w:id="4"/>
      <w:r w:rsidRPr="002C26EB">
        <w:rPr>
          <w:rFonts w:ascii="Calibri" w:hAnsi="Calibri" w:eastAsia="Calibri" w:cs="Calibri"/>
          <w:szCs w:val="20"/>
        </w:rPr>
        <w:t>Att ge en enhetlig profylax och behandling till patienter som drabbas av PONV.</w:t>
      </w:r>
    </w:p>
    <w:bookmarkEnd w:id="4"/>
    <w:p w:rsidRPr="00070BE9" w:rsidR="00070BE9" w:rsidP="00070BE9" w:rsidRDefault="00070BE9" w14:paraId="4E5FA7FC" w14:textId="77777777">
      <w:pPr>
        <w:ind w:left="0"/>
      </w:pPr>
    </w:p>
    <w:p w:rsidRPr="007521D4" w:rsidR="002C26EB" w:rsidP="007521D4" w:rsidRDefault="002C26EB" w14:paraId="07997C10" w14:textId="1E8D01F6">
      <w:pPr>
        <w:pStyle w:val="Rubrik2"/>
        <w:ind w:right="140"/>
      </w:pPr>
      <w:r w:rsidR="0D02E1C0">
        <w:rPr/>
        <w:t>Riskfaktorer för PONV</w:t>
      </w:r>
    </w:p>
    <w:p w:rsidR="548DFB4B" w:rsidP="14F0A874" w:rsidRDefault="548DFB4B" w14:paraId="2B207F35" w14:textId="353ECF50">
      <w:pPr>
        <w:spacing w:before="0" w:beforeAutospacing="off" w:after="160" w:afterAutospacing="off" w:line="257" w:lineRule="auto"/>
        <w:ind w:left="992" w:right="140"/>
      </w:pP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Cirka 70 % av alla patienter som opereras drabbas </w:t>
      </w:r>
      <w:r w:rsidRPr="14F0A874" w:rsidR="0B829316">
        <w:rPr>
          <w:rFonts w:ascii="Times New Roman" w:hAnsi="Times New Roman" w:eastAsia="Times New Roman" w:cs="Times New Roman"/>
          <w:i w:val="1"/>
          <w:iCs w:val="1"/>
          <w:noProof w:val="0"/>
          <w:sz w:val="24"/>
          <w:szCs w:val="24"/>
          <w:lang w:val="sv-SE"/>
        </w:rPr>
        <w:t>inte</w:t>
      </w: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av PONV och kan förhoppningsvis selekteras ut preoperativt så att profylax kan undvikas. Patienter som riskerar PONV skall naturligtvis ha profylax – rätt profylax. För riskbedömning av PONV är </w:t>
      </w: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Apfel</w:t>
      </w: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-score (enligt </w:t>
      </w: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Apfel</w:t>
      </w:r>
      <w:r w:rsidRPr="14F0A874" w:rsidR="0B8293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et al.) den mest använda och kliniskt bäst validerade modellen.</w:t>
      </w:r>
      <w:bookmarkStart w:name="_Toc501440352" w:id="5"/>
    </w:p>
    <w:p w:rsidR="00070BE9" w:rsidRDefault="00070BE9" w14:paraId="308A6EF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7521D4" w:rsidR="002C26EB" w:rsidP="007521D4" w:rsidRDefault="002C26EB" w14:paraId="79107CC9" w14:textId="0E086046">
      <w:pPr>
        <w:pStyle w:val="Rubrik2"/>
        <w:ind w:right="140"/>
      </w:pPr>
      <w:r w:rsidR="002C26EB">
        <w:rPr/>
        <w:t xml:space="preserve">Riskfaktorer för PONV efter </w:t>
      </w:r>
      <w:r w:rsidR="002C26EB">
        <w:rPr/>
        <w:t>Apfel</w:t>
      </w:r>
      <w:r w:rsidR="002C26EB">
        <w:rPr/>
        <w:t xml:space="preserve"> et al. </w:t>
      </w:r>
    </w:p>
    <w:p w:rsidRPr="002C26EB" w:rsidR="002C26EB" w:rsidP="00C346DB" w:rsidRDefault="002C26EB" w14:paraId="08901EB6" w14:textId="77777777">
      <w:pPr>
        <w:numPr>
          <w:ilvl w:val="0"/>
          <w:numId w:val="21"/>
        </w:numPr>
        <w:spacing w:after="160" w:line="259" w:lineRule="auto"/>
        <w:ind w:left="1418" w:right="140"/>
        <w:contextualSpacing/>
        <w:rPr>
          <w:rFonts w:eastAsia="Calibri"/>
          <w:szCs w:val="20"/>
        </w:rPr>
      </w:pPr>
      <w:r w:rsidRPr="002C26EB">
        <w:rPr>
          <w:rFonts w:eastAsia="Calibri"/>
          <w:szCs w:val="20"/>
        </w:rPr>
        <w:t>Kvinna</w:t>
      </w:r>
    </w:p>
    <w:p w:rsidRPr="002C26EB" w:rsidR="002C26EB" w:rsidP="00C346DB" w:rsidRDefault="002C26EB" w14:paraId="1BF6F0FB" w14:textId="77777777">
      <w:pPr>
        <w:numPr>
          <w:ilvl w:val="0"/>
          <w:numId w:val="21"/>
        </w:numPr>
        <w:spacing w:after="160" w:line="259" w:lineRule="auto"/>
        <w:ind w:left="1418" w:right="140"/>
        <w:contextualSpacing/>
        <w:rPr>
          <w:rFonts w:eastAsia="Calibri"/>
          <w:szCs w:val="20"/>
        </w:rPr>
      </w:pPr>
      <w:r w:rsidRPr="002C26EB">
        <w:rPr>
          <w:rFonts w:eastAsia="Calibri"/>
          <w:szCs w:val="20"/>
        </w:rPr>
        <w:t>Icke-rökare</w:t>
      </w:r>
    </w:p>
    <w:p w:rsidRPr="002C26EB" w:rsidR="002C26EB" w:rsidP="00C346DB" w:rsidRDefault="002C26EB" w14:paraId="6B877DE2" w14:textId="77777777">
      <w:pPr>
        <w:numPr>
          <w:ilvl w:val="0"/>
          <w:numId w:val="21"/>
        </w:numPr>
        <w:spacing w:after="160" w:line="259" w:lineRule="auto"/>
        <w:ind w:left="1418" w:right="140"/>
        <w:contextualSpacing/>
        <w:rPr>
          <w:rFonts w:eastAsia="Calibri"/>
          <w:szCs w:val="20"/>
        </w:rPr>
      </w:pPr>
      <w:r w:rsidRPr="002C26EB">
        <w:rPr>
          <w:rFonts w:eastAsia="Calibri"/>
          <w:szCs w:val="20"/>
        </w:rPr>
        <w:t>Tidigare PONV och/eller rörelsesjuka</w:t>
      </w:r>
    </w:p>
    <w:p w:rsidRPr="002C26EB" w:rsidR="002C26EB" w:rsidP="00C346DB" w:rsidRDefault="002C26EB" w14:paraId="47F549DA" w14:textId="77777777">
      <w:pPr>
        <w:numPr>
          <w:ilvl w:val="0"/>
          <w:numId w:val="21"/>
        </w:numPr>
        <w:spacing w:after="160" w:line="259" w:lineRule="auto"/>
        <w:ind w:left="1418" w:right="140"/>
        <w:contextualSpacing/>
        <w:rPr>
          <w:rFonts w:eastAsia="Calibri"/>
          <w:szCs w:val="20"/>
        </w:rPr>
      </w:pPr>
      <w:r w:rsidRPr="002C26EB">
        <w:rPr>
          <w:rFonts w:eastAsia="Calibri"/>
          <w:szCs w:val="20"/>
        </w:rPr>
        <w:t>Behov av opioider post op.</w:t>
      </w:r>
    </w:p>
    <w:p w:rsidRPr="002C26EB" w:rsidR="002C26EB" w:rsidP="007521D4" w:rsidRDefault="002C26EB" w14:paraId="281F08B0" w14:textId="77777777">
      <w:pPr>
        <w:spacing w:after="160" w:line="259" w:lineRule="auto"/>
        <w:ind w:right="140"/>
        <w:contextualSpacing/>
        <w:rPr>
          <w:rFonts w:eastAsia="Calibri"/>
          <w:szCs w:val="20"/>
        </w:rPr>
      </w:pPr>
    </w:p>
    <w:p w:rsidR="00C346DB" w:rsidP="007521D4" w:rsidRDefault="00C346DB" w14:paraId="60A84173" w14:textId="77777777">
      <w:pPr>
        <w:tabs>
          <w:tab w:val="left" w:pos="851"/>
          <w:tab w:val="left" w:pos="2694"/>
        </w:tabs>
        <w:spacing w:after="160" w:line="259" w:lineRule="auto"/>
        <w:ind w:right="140"/>
        <w:rPr>
          <w:rFonts w:ascii="Calibri" w:hAnsi="Calibri" w:eastAsia="Calibri" w:cs="Calibri"/>
          <w:szCs w:val="20"/>
        </w:rPr>
      </w:pPr>
    </w:p>
    <w:p w:rsidR="00D769E4" w:rsidP="548DFB4B" w:rsidRDefault="00D769E4" w14:paraId="2CC90D98" w14:textId="49A9705E">
      <w:pPr>
        <w:tabs>
          <w:tab w:val="left" w:pos="851"/>
          <w:tab w:val="left" w:pos="2694"/>
        </w:tabs>
        <w:spacing w:after="160" w:line="259" w:lineRule="auto"/>
        <w:ind w:right="140"/>
        <w:rPr>
          <w:rFonts w:ascii="Calibri" w:hAnsi="Calibri" w:eastAsia="Calibri" w:cs="Calibri"/>
        </w:rPr>
      </w:pPr>
      <w:r w:rsidRPr="548DFB4B" w:rsidR="73BB060E">
        <w:rPr>
          <w:rFonts w:ascii="Calibri" w:hAnsi="Calibri" w:eastAsia="Calibri" w:cs="Calibri"/>
          <w:b w:val="1"/>
          <w:bCs w:val="1"/>
        </w:rPr>
        <w:t>Risk för PONV</w:t>
      </w:r>
      <w:r>
        <w:tab/>
      </w:r>
      <w:r>
        <w:tab/>
      </w:r>
      <w:r>
        <w:tab/>
      </w:r>
      <w:r w:rsidRPr="548DFB4B" w:rsidR="73BB060E">
        <w:rPr>
          <w:rFonts w:ascii="Calibri" w:hAnsi="Calibri" w:eastAsia="Calibri" w:cs="Calibri"/>
          <w:b w:val="1"/>
          <w:bCs w:val="1"/>
        </w:rPr>
        <w:t>Behandling</w:t>
      </w:r>
    </w:p>
    <w:p w:rsidR="73BB060E" w:rsidP="548DFB4B" w:rsidRDefault="73BB060E" w14:paraId="4070154C" w14:textId="1E2AF8A2">
      <w:pPr>
        <w:tabs>
          <w:tab w:val="left" w:leader="none" w:pos="851"/>
          <w:tab w:val="left" w:leader="none" w:pos="2694"/>
        </w:tabs>
        <w:spacing w:after="160" w:line="259" w:lineRule="auto"/>
        <w:ind w:right="140"/>
        <w:rPr>
          <w:rFonts w:ascii="Calibri" w:hAnsi="Calibri" w:eastAsia="Calibri" w:cs="Calibri"/>
        </w:rPr>
      </w:pPr>
      <w:r w:rsidRPr="14F0A874" w:rsidR="73BB060E">
        <w:rPr>
          <w:rFonts w:ascii="Calibri" w:hAnsi="Calibri" w:eastAsia="Calibri" w:cs="Calibri"/>
          <w:b w:val="1"/>
          <w:bCs w:val="1"/>
        </w:rPr>
        <w:t>Låg risk</w:t>
      </w:r>
      <w:r>
        <w:br/>
      </w:r>
      <w:r w:rsidRPr="14F0A874" w:rsidR="7B6CF32A">
        <w:rPr>
          <w:rFonts w:ascii="Calibri" w:hAnsi="Calibri" w:eastAsia="Calibri" w:cs="Calibri"/>
        </w:rPr>
        <w:t xml:space="preserve">0 </w:t>
      </w:r>
      <w:r w:rsidRPr="14F0A874" w:rsidR="08BB5272">
        <w:rPr>
          <w:rFonts w:ascii="Calibri" w:hAnsi="Calibri" w:eastAsia="Calibri" w:cs="Calibri"/>
        </w:rPr>
        <w:t>riskfraktor</w:t>
      </w:r>
      <w:r w:rsidRPr="14F0A874" w:rsidR="08BB5272">
        <w:rPr>
          <w:rFonts w:ascii="Calibri" w:hAnsi="Calibri" w:eastAsia="Calibri" w:cs="Calibri"/>
        </w:rPr>
        <w:t xml:space="preserve"> (&lt;10% risk)</w:t>
      </w:r>
      <w:r>
        <w:tab/>
      </w:r>
      <w:r>
        <w:tab/>
      </w:r>
      <w:r w:rsidRPr="14F0A874" w:rsidR="56C31C4C">
        <w:rPr>
          <w:rFonts w:ascii="Calibri" w:hAnsi="Calibri" w:eastAsia="Calibri" w:cs="Calibri"/>
        </w:rPr>
        <w:t>- Oftast ingen farmakologisk profylax.</w:t>
      </w:r>
    </w:p>
    <w:p w:rsidR="56C31C4C" w:rsidP="548DFB4B" w:rsidRDefault="56C31C4C" w14:paraId="06D8831B" w14:textId="7723138A">
      <w:pPr>
        <w:tabs>
          <w:tab w:val="left" w:leader="none" w:pos="851"/>
          <w:tab w:val="left" w:leader="none" w:pos="2694"/>
        </w:tabs>
        <w:spacing w:after="160" w:line="259" w:lineRule="auto"/>
        <w:ind w:right="140"/>
        <w:rPr>
          <w:rFonts w:ascii="Calibri" w:hAnsi="Calibri" w:eastAsia="Calibri" w:cs="Calibri"/>
        </w:rPr>
      </w:pPr>
      <w:r w:rsidRPr="14F0A874" w:rsidR="56C31C4C">
        <w:rPr>
          <w:rFonts w:ascii="Calibri" w:hAnsi="Calibri" w:eastAsia="Calibri" w:cs="Calibri"/>
          <w:b w:val="1"/>
          <w:bCs w:val="1"/>
        </w:rPr>
        <w:t>Måttlig risk</w:t>
      </w:r>
      <w:r>
        <w:br/>
      </w:r>
      <w:r w:rsidRPr="14F0A874" w:rsidR="0FCC0570">
        <w:rPr>
          <w:rFonts w:ascii="Calibri" w:hAnsi="Calibri" w:eastAsia="Calibri" w:cs="Calibri"/>
        </w:rPr>
        <w:t>1-2 riskfaktorer (</w:t>
      </w:r>
      <w:r w:rsidRPr="14F0A874" w:rsidR="17801072">
        <w:rPr>
          <w:rFonts w:ascii="Calibri" w:hAnsi="Calibri" w:eastAsia="Calibri" w:cs="Calibri"/>
        </w:rPr>
        <w:t>20–40</w:t>
      </w:r>
      <w:r w:rsidRPr="14F0A874" w:rsidR="0FCC0570">
        <w:rPr>
          <w:rFonts w:ascii="Calibri" w:hAnsi="Calibri" w:eastAsia="Calibri" w:cs="Calibri"/>
        </w:rPr>
        <w:t xml:space="preserve">% </w:t>
      </w:r>
      <w:r w:rsidRPr="14F0A874" w:rsidR="0FCC0570">
        <w:rPr>
          <w:rFonts w:ascii="Calibri" w:hAnsi="Calibri" w:eastAsia="Calibri" w:cs="Calibri"/>
        </w:rPr>
        <w:t>risk)</w:t>
      </w:r>
      <w:r>
        <w:tab/>
      </w:r>
      <w:r w:rsidRPr="14F0A874" w:rsidR="0FCC0570">
        <w:rPr>
          <w:rFonts w:ascii="Calibri" w:hAnsi="Calibri" w:eastAsia="Calibri" w:cs="Calibri"/>
        </w:rPr>
        <w:t xml:space="preserve">- </w:t>
      </w:r>
      <w:r w:rsidRPr="14F0A874" w:rsidR="0FCC0570">
        <w:rPr>
          <w:rFonts w:ascii="Calibri" w:hAnsi="Calibri" w:eastAsia="Calibri" w:cs="Calibri"/>
        </w:rPr>
        <w:t>Droperidol</w:t>
      </w:r>
      <w:r w:rsidRPr="14F0A874" w:rsidR="0FCC0570">
        <w:rPr>
          <w:rFonts w:ascii="Calibri" w:hAnsi="Calibri" w:eastAsia="Calibri" w:cs="Calibri"/>
        </w:rPr>
        <w:t xml:space="preserve"> </w:t>
      </w:r>
      <w:r w:rsidRPr="14F0A874" w:rsidR="0FCC0570">
        <w:rPr>
          <w:rFonts w:ascii="Calibri" w:hAnsi="Calibri" w:eastAsia="Calibri" w:cs="Calibri"/>
          <w:i w:val="1"/>
          <w:iCs w:val="1"/>
        </w:rPr>
        <w:t xml:space="preserve">eller </w:t>
      </w:r>
      <w:r w:rsidRPr="14F0A874" w:rsidR="0FCC0570">
        <w:rPr>
          <w:rFonts w:ascii="Calibri" w:hAnsi="Calibri" w:eastAsia="Calibri" w:cs="Calibri"/>
        </w:rPr>
        <w:t>ondansetron</w:t>
      </w:r>
      <w:r w:rsidRPr="14F0A874" w:rsidR="0C78E073">
        <w:rPr>
          <w:rFonts w:ascii="Calibri" w:hAnsi="Calibri" w:eastAsia="Calibri" w:cs="Calibri"/>
        </w:rPr>
        <w:t xml:space="preserve"> samt </w:t>
      </w:r>
      <w:r>
        <w:tab/>
      </w:r>
      <w:r>
        <w:tab/>
      </w:r>
      <w:r>
        <w:tab/>
      </w:r>
      <w:r w:rsidRPr="14F0A874" w:rsidR="0C78E073">
        <w:rPr>
          <w:rFonts w:ascii="Calibri" w:hAnsi="Calibri" w:eastAsia="Calibri" w:cs="Calibri"/>
        </w:rPr>
        <w:t xml:space="preserve">              betametason</w:t>
      </w:r>
      <w:r>
        <w:br/>
      </w:r>
      <w:r>
        <w:tab/>
      </w:r>
      <w:r>
        <w:tab/>
      </w:r>
      <w:r>
        <w:tab/>
      </w:r>
      <w:r w:rsidRPr="14F0A874" w:rsidR="492C42BD">
        <w:rPr>
          <w:rFonts w:ascii="Calibri" w:hAnsi="Calibri" w:eastAsia="Calibri" w:cs="Calibri"/>
        </w:rPr>
        <w:t>- Riskreducerande basårgärder</w:t>
      </w:r>
    </w:p>
    <w:p w:rsidR="492C42BD" w:rsidP="548DFB4B" w:rsidRDefault="492C42BD" w14:paraId="6B9B9319" w14:textId="70942D90">
      <w:pPr>
        <w:tabs>
          <w:tab w:val="left" w:leader="none" w:pos="851"/>
          <w:tab w:val="left" w:leader="none" w:pos="2694"/>
        </w:tabs>
        <w:spacing w:after="160" w:line="259" w:lineRule="auto"/>
        <w:ind w:right="140"/>
        <w:rPr>
          <w:rFonts w:ascii="Calibri" w:hAnsi="Calibri" w:eastAsia="Calibri" w:cs="Calibri"/>
        </w:rPr>
      </w:pPr>
      <w:r w:rsidRPr="14F0A874" w:rsidR="492C42BD">
        <w:rPr>
          <w:rFonts w:ascii="Calibri" w:hAnsi="Calibri" w:eastAsia="Calibri" w:cs="Calibri"/>
          <w:b w:val="1"/>
          <w:bCs w:val="1"/>
        </w:rPr>
        <w:t>Hög risk</w:t>
      </w:r>
      <w:r>
        <w:br/>
      </w:r>
      <w:r w:rsidRPr="14F0A874" w:rsidR="2031498A">
        <w:rPr>
          <w:rFonts w:ascii="Calibri" w:hAnsi="Calibri" w:eastAsia="Calibri" w:cs="Calibri"/>
        </w:rPr>
        <w:t>4-3 riskfaktorer (</w:t>
      </w:r>
      <w:r w:rsidRPr="14F0A874" w:rsidR="56963031">
        <w:rPr>
          <w:rFonts w:ascii="Calibri" w:hAnsi="Calibri" w:eastAsia="Calibri" w:cs="Calibri"/>
        </w:rPr>
        <w:t>40–80</w:t>
      </w:r>
      <w:r w:rsidRPr="14F0A874" w:rsidR="2031498A">
        <w:rPr>
          <w:rFonts w:ascii="Calibri" w:hAnsi="Calibri" w:eastAsia="Calibri" w:cs="Calibri"/>
        </w:rPr>
        <w:t xml:space="preserve">% </w:t>
      </w:r>
      <w:r w:rsidRPr="14F0A874" w:rsidR="2031498A">
        <w:rPr>
          <w:rFonts w:ascii="Calibri" w:hAnsi="Calibri" w:eastAsia="Calibri" w:cs="Calibri"/>
        </w:rPr>
        <w:t>risk)</w:t>
      </w:r>
      <w:r>
        <w:tab/>
      </w:r>
      <w:r w:rsidRPr="14F0A874" w:rsidR="2031498A">
        <w:rPr>
          <w:rFonts w:ascii="Calibri" w:hAnsi="Calibri" w:eastAsia="Calibri" w:cs="Calibri"/>
        </w:rPr>
        <w:t xml:space="preserve">- </w:t>
      </w:r>
      <w:r w:rsidRPr="14F0A874" w:rsidR="2031498A">
        <w:rPr>
          <w:rFonts w:ascii="Calibri" w:hAnsi="Calibri" w:eastAsia="Calibri" w:cs="Calibri"/>
        </w:rPr>
        <w:t>Droperidol</w:t>
      </w:r>
      <w:r w:rsidRPr="14F0A874" w:rsidR="2031498A">
        <w:rPr>
          <w:rFonts w:ascii="Calibri" w:hAnsi="Calibri" w:eastAsia="Calibri" w:cs="Calibri"/>
        </w:rPr>
        <w:t xml:space="preserve"> </w:t>
      </w:r>
      <w:r w:rsidRPr="14F0A874" w:rsidR="2031498A">
        <w:rPr>
          <w:rFonts w:ascii="Calibri" w:hAnsi="Calibri" w:eastAsia="Calibri" w:cs="Calibri"/>
          <w:i w:val="1"/>
          <w:iCs w:val="1"/>
        </w:rPr>
        <w:t xml:space="preserve">och </w:t>
      </w:r>
      <w:r w:rsidRPr="14F0A874" w:rsidR="2031498A">
        <w:rPr>
          <w:rFonts w:ascii="Calibri" w:hAnsi="Calibri" w:eastAsia="Calibri" w:cs="Calibri"/>
        </w:rPr>
        <w:t>ondansetron</w:t>
      </w:r>
      <w:r w:rsidRPr="14F0A874" w:rsidR="21C6C578">
        <w:rPr>
          <w:rFonts w:ascii="Calibri" w:hAnsi="Calibri" w:eastAsia="Calibri" w:cs="Calibri"/>
        </w:rPr>
        <w:t xml:space="preserve"> samt</w:t>
      </w:r>
      <w:r>
        <w:br/>
      </w:r>
      <w:r>
        <w:tab/>
      </w:r>
      <w:r>
        <w:tab/>
      </w:r>
      <w:r>
        <w:tab/>
      </w:r>
      <w:r w:rsidRPr="14F0A874" w:rsidR="544143D8">
        <w:rPr>
          <w:rFonts w:ascii="Calibri" w:hAnsi="Calibri" w:eastAsia="Calibri" w:cs="Calibri"/>
        </w:rPr>
        <w:t xml:space="preserve">  b</w:t>
      </w:r>
      <w:r w:rsidRPr="14F0A874" w:rsidR="2F803BDF">
        <w:rPr>
          <w:rFonts w:ascii="Calibri" w:hAnsi="Calibri" w:eastAsia="Calibri" w:cs="Calibri"/>
        </w:rPr>
        <w:t>etametason</w:t>
      </w:r>
      <w:r>
        <w:br/>
      </w:r>
      <w:r>
        <w:tab/>
      </w:r>
      <w:r>
        <w:tab/>
      </w:r>
      <w:r>
        <w:tab/>
      </w:r>
      <w:r w:rsidRPr="14F0A874" w:rsidR="0190193A">
        <w:rPr>
          <w:rFonts w:ascii="Calibri" w:hAnsi="Calibri" w:eastAsia="Calibri" w:cs="Calibri"/>
        </w:rPr>
        <w:t>- Riskreducerande basåtgärder</w:t>
      </w:r>
    </w:p>
    <w:p w:rsidR="0190193A" w:rsidP="548DFB4B" w:rsidRDefault="0190193A" w14:paraId="21340EF6" w14:textId="6942B30F">
      <w:pPr>
        <w:tabs>
          <w:tab w:val="left" w:leader="none" w:pos="851"/>
          <w:tab w:val="left" w:leader="none" w:pos="2694"/>
        </w:tabs>
        <w:spacing w:before="0" w:beforeAutospacing="off" w:after="120" w:afterAutospacing="off" w:line="257" w:lineRule="auto"/>
        <w:ind w:left="992" w:right="140"/>
      </w:pPr>
      <w:r w:rsidRPr="14F0A874" w:rsidR="0190193A">
        <w:rPr>
          <w:rFonts w:ascii="Calibri" w:hAnsi="Calibri" w:eastAsia="Calibri" w:cs="Calibri"/>
          <w:noProof w:val="0"/>
          <w:sz w:val="24"/>
          <w:szCs w:val="24"/>
          <w:lang w:val="sv-SE"/>
        </w:rPr>
        <w:t>Observera att</w:t>
      </w:r>
      <w:r w:rsidRPr="14F0A874" w:rsidR="1796D857">
        <w:rPr>
          <w:rFonts w:ascii="Calibri" w:hAnsi="Calibri" w:eastAsia="Calibri" w:cs="Calibri"/>
          <w:noProof w:val="0"/>
          <w:sz w:val="24"/>
          <w:szCs w:val="24"/>
          <w:lang w:val="sv-SE"/>
        </w:rPr>
        <w:t>:</w:t>
      </w:r>
      <w:r>
        <w:br/>
      </w:r>
      <w:r w:rsidRPr="14F0A874" w:rsidR="7F451D91">
        <w:rPr>
          <w:rFonts w:ascii="Calibri" w:hAnsi="Calibri" w:eastAsia="Calibri" w:cs="Calibri"/>
          <w:noProof w:val="0"/>
          <w:sz w:val="24"/>
          <w:szCs w:val="24"/>
          <w:lang w:val="sv-SE"/>
        </w:rPr>
        <w:t>-</w:t>
      </w:r>
      <w:r w:rsidRPr="14F0A874" w:rsidR="0190193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patienter som tidigare haft svår PONV bör handläggas som högriskpatienter oavsett </w:t>
      </w:r>
      <w:r w:rsidRPr="14F0A874" w:rsidR="0190193A">
        <w:rPr>
          <w:rFonts w:ascii="Calibri" w:hAnsi="Calibri" w:eastAsia="Calibri" w:cs="Calibri"/>
          <w:noProof w:val="0"/>
          <w:sz w:val="24"/>
          <w:szCs w:val="24"/>
          <w:lang w:val="sv-SE"/>
        </w:rPr>
        <w:t>Apfel</w:t>
      </w:r>
      <w:r w:rsidRPr="14F0A874" w:rsidR="0190193A">
        <w:rPr>
          <w:rFonts w:ascii="Calibri" w:hAnsi="Calibri" w:eastAsia="Calibri" w:cs="Calibri"/>
          <w:noProof w:val="0"/>
          <w:sz w:val="24"/>
          <w:szCs w:val="24"/>
          <w:lang w:val="sv-SE"/>
        </w:rPr>
        <w:t>-score.</w:t>
      </w:r>
    </w:p>
    <w:p w:rsidRPr="002C26EB" w:rsidR="002C26EB" w:rsidP="00D13DE4" w:rsidRDefault="002C26EB" w14:paraId="51642705" w14:textId="70FFF2BB">
      <w:pPr>
        <w:tabs>
          <w:tab w:val="left" w:pos="851"/>
          <w:tab w:val="left" w:pos="2694"/>
        </w:tabs>
        <w:spacing w:after="160" w:line="259" w:lineRule="auto"/>
        <w:ind w:right="140"/>
        <w:rPr>
          <w:rFonts w:ascii="Calibri" w:hAnsi="Calibri" w:eastAsia="Calibri" w:cs="Calibri"/>
          <w:szCs w:val="20"/>
          <w:u w:val="single"/>
        </w:rPr>
      </w:pPr>
      <w:r w:rsidRPr="548DFB4B" w:rsidR="0D02E1C0">
        <w:rPr>
          <w:rFonts w:ascii="Calibri" w:hAnsi="Calibri" w:eastAsia="Calibri" w:cs="Calibri"/>
        </w:rPr>
        <w:t xml:space="preserve"> </w:t>
      </w:r>
    </w:p>
    <w:p w:rsidR="0C97E6B0" w:rsidP="548DFB4B" w:rsidRDefault="0C97E6B0" w14:paraId="3FDA7CF0" w14:textId="46A73867">
      <w:pPr>
        <w:pStyle w:val="Rubrik2"/>
        <w:suppressLineNumbers w:val="0"/>
        <w:bidi w:val="0"/>
        <w:spacing w:before="240" w:beforeAutospacing="off" w:after="40" w:afterAutospacing="off" w:line="240" w:lineRule="auto"/>
        <w:ind w:left="992" w:right="140"/>
        <w:jc w:val="left"/>
      </w:pPr>
      <w:r w:rsidR="713E00BD">
        <w:rPr/>
        <w:t xml:space="preserve">Ytterligare </w:t>
      </w:r>
      <w:r w:rsidR="0C97E6B0">
        <w:rPr/>
        <w:t xml:space="preserve">riskfaktorer utöver </w:t>
      </w:r>
      <w:r w:rsidR="0C97E6B0">
        <w:rPr/>
        <w:t>Apfel</w:t>
      </w:r>
      <w:r w:rsidR="0C97E6B0">
        <w:rPr/>
        <w:t>-score</w:t>
      </w:r>
    </w:p>
    <w:p w:rsidR="5A36850A" w:rsidP="14F0A874" w:rsidRDefault="5A36850A" w14:paraId="6819D185" w14:textId="57B7F9D6">
      <w:pPr>
        <w:spacing w:before="0" w:beforeAutospacing="off" w:after="160" w:afterAutospacing="off" w:line="257" w:lineRule="auto"/>
        <w:ind w:left="992" w:right="140"/>
      </w:pPr>
      <w:r w:rsidRPr="14F0A874" w:rsidR="5A36850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Patientens ålder</w:t>
      </w:r>
      <w:r w:rsidRPr="14F0A874" w:rsidR="5A3685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:</w:t>
      </w:r>
      <w:r w:rsidRPr="14F0A874" w:rsidR="5A36850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Barn över 3 år har ökad risk för PONV. Hos vuxna ses en ökad risk hos yngre patienter. Postpubertala tonårsflickor utgör en särskild riskgrupp.</w:t>
      </w:r>
    </w:p>
    <w:p w:rsidR="5A36850A" w:rsidP="14F0A874" w:rsidRDefault="5A36850A" w14:paraId="3BBF54DF" w14:textId="651E113E">
      <w:pPr>
        <w:spacing w:before="0" w:beforeAutospacing="off" w:after="160" w:afterAutospacing="off" w:line="257" w:lineRule="auto"/>
        <w:ind w:left="992" w:right="140"/>
      </w:pPr>
      <w:r w:rsidRPr="14F0A874" w:rsidR="5A36850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Kirurgi:</w:t>
      </w:r>
      <w:r w:rsidRPr="14F0A874" w:rsidR="5A36850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  <w:r w:rsidRPr="14F0A874" w:rsidR="5A3685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Operationstid &gt; 30 minuter samt vid vissa typer av kirurgi exempelvis  ÖNH-kirurgi, strabismkirurgi, bröstkirurgi, gastrokirurgi och gynekologisk kirurgi.</w:t>
      </w:r>
    </w:p>
    <w:p w:rsidR="5A36850A" w:rsidP="14F0A874" w:rsidRDefault="5A36850A" w14:paraId="52097361" w14:textId="04DF8F84">
      <w:pPr>
        <w:spacing w:before="0" w:beforeAutospacing="off" w:after="160" w:afterAutospacing="off" w:line="257" w:lineRule="auto"/>
        <w:ind w:left="992" w:right="140"/>
      </w:pPr>
      <w:r w:rsidRPr="14F0A874" w:rsidR="5A36850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Anestesi:</w:t>
      </w:r>
      <w:r w:rsidRPr="14F0A874" w:rsidR="5A36850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14F0A874" w:rsidR="5A3685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Generell anestesi utgör en högre risk för PONV än regional anestesi. Lustgas bör undvikas. Inhalationsanestesi ökar risken för PONV jämfört med TIVA, särskilt vid längre anestesitid.</w:t>
      </w:r>
      <w:r w:rsidRPr="14F0A874" w:rsidR="5A36850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</w:p>
    <w:p w:rsidR="5A36850A" w:rsidP="14F0A874" w:rsidRDefault="5A36850A" w14:paraId="189181A6" w14:textId="4CC5CA10">
      <w:pPr>
        <w:spacing w:before="0" w:beforeAutospacing="off" w:after="160" w:afterAutospacing="off" w:line="257" w:lineRule="auto"/>
        <w:ind w:left="992" w:right="140"/>
      </w:pPr>
      <w:r w:rsidRPr="14F0A874" w:rsidR="5A36850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Postoperativt:</w:t>
      </w:r>
      <w:r w:rsidRPr="14F0A874" w:rsidR="5A36850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  <w:r w:rsidRPr="14F0A874" w:rsidR="5A3685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Smärta, ångest, snabba förflyttningar/rörelser samt opioider ökar risken för PONV. Opioideffekten är dosberoende.</w:t>
      </w:r>
    </w:p>
    <w:p w:rsidR="14F0A874" w:rsidP="14F0A874" w:rsidRDefault="14F0A874" w14:paraId="5B03BADA" w14:textId="085A7497">
      <w:pPr>
        <w:spacing w:before="0" w:beforeAutospacing="off" w:after="160" w:afterAutospacing="off" w:line="257" w:lineRule="auto"/>
        <w:ind w:left="992"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8F4DA9" w:rsidP="548DFB4B" w:rsidRDefault="4F8F4DA9" w14:paraId="6A9043A7" w14:textId="3D225F7A">
      <w:pPr>
        <w:spacing w:before="0" w:beforeAutospacing="off" w:after="160" w:afterAutospacing="off" w:line="257" w:lineRule="auto"/>
        <w:ind w:left="992" w:right="140"/>
      </w:pPr>
      <w:r w:rsidRPr="548DFB4B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548DFB4B" w:rsidP="548DFB4B" w:rsidRDefault="548DFB4B" w14:paraId="6911E775" w14:textId="5671F0E9">
      <w:pPr>
        <w:pStyle w:val="Rubrik2"/>
        <w:spacing w:before="240" w:beforeAutospacing="off" w:after="40" w:afterAutospacing="off"/>
        <w:ind w:left="992" w:right="140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548DFB4B" w:rsidP="548DFB4B" w:rsidRDefault="548DFB4B" w14:paraId="1292D311" w14:textId="72318F74">
      <w:pPr>
        <w:pStyle w:val="Rubrik2"/>
        <w:spacing w:before="240" w:beforeAutospacing="off" w:after="40" w:afterAutospacing="off"/>
        <w:ind w:left="992" w:right="140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4F8F4DA9" w:rsidP="548DFB4B" w:rsidRDefault="4F8F4DA9" w14:paraId="26A74001" w14:textId="7E9C92F7">
      <w:pPr>
        <w:pStyle w:val="Rubrik2"/>
        <w:spacing w:before="240" w:beforeAutospacing="off" w:after="40" w:afterAutospacing="off"/>
        <w:ind w:left="992" w:right="140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  <w:r w:rsidRPr="14F0A874" w:rsidR="4F8F4DA9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Riskreduktion med basala åtgärder (gäller alla patienter med risk för PONV)</w:t>
      </w:r>
    </w:p>
    <w:p w:rsidR="22C1BA15" w:rsidP="14F0A874" w:rsidRDefault="22C1BA15" w14:paraId="4D46E721" w14:textId="48A6884A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Minimera 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perioperativa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opioider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– använd multimodal smärtbehandling! 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Paracetamol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NSAID/COX2 och alfa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vertAlign w:val="subscript"/>
          <w:lang w:val="sv-SE"/>
        </w:rPr>
        <w:t>2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agonister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reducerar 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opioidbehovet</w:t>
      </w:r>
      <w:r w:rsidRPr="14F0A874" w:rsidR="22C1BA1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och därmed risken för PONV.</w:t>
      </w:r>
    </w:p>
    <w:p w:rsidR="4F8F4DA9" w:rsidP="14F0A874" w:rsidRDefault="4F8F4DA9" w14:paraId="0A6AE347" w14:textId="3457B836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Överväg regional anestesi när det är möjligt</w:t>
      </w:r>
    </w:p>
    <w:p w:rsidR="4F8F4DA9" w:rsidP="14F0A874" w:rsidRDefault="4F8F4DA9" w14:paraId="0A953EE3" w14:textId="140CC547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5C2F473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Använd 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TIVA </w:t>
      </w:r>
      <w:r w:rsidRPr="14F0A874" w:rsidR="050560C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hos r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</w:t>
      </w:r>
      <w:r w:rsidRPr="14F0A874" w:rsidR="050560C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skpatienter</w:t>
      </w:r>
    </w:p>
    <w:p w:rsidR="4F8F4DA9" w:rsidP="14F0A874" w:rsidRDefault="4F8F4DA9" w14:paraId="0614985C" w14:textId="6AA123A4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Säkerställ adekvat</w:t>
      </w:r>
      <w:r w:rsidRPr="14F0A874" w:rsidR="5B54AD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14F0A874" w:rsidR="5B54AD0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peroperativ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14F0A874" w:rsidR="5C2A0CF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vätskebehandling</w:t>
      </w:r>
    </w:p>
    <w:p w:rsidR="4F8F4DA9" w:rsidP="14F0A874" w:rsidRDefault="4F8F4DA9" w14:paraId="5A358C53" w14:textId="13C2A3EC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4405A60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Upprätthåll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normotermi</w:t>
      </w:r>
    </w:p>
    <w:p w:rsidR="4F8F4DA9" w:rsidP="14F0A874" w:rsidRDefault="4F8F4DA9" w14:paraId="5C20C509" w14:textId="0D7503CC">
      <w:pPr>
        <w:pStyle w:val="Liststycke"/>
        <w:spacing w:before="0" w:beforeAutospacing="off" w:after="0" w:afterAutospacing="off" w:line="257" w:lineRule="auto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50BE326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Överväg e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ventuellt akupressur över PC 6-punkten</w:t>
      </w:r>
    </w:p>
    <w:p w:rsidR="548DFB4B" w:rsidP="548DFB4B" w:rsidRDefault="548DFB4B" w14:paraId="5DF5BCD0" w14:textId="3F0E121A">
      <w:pPr>
        <w:spacing w:after="160" w:line="259" w:lineRule="auto"/>
        <w:ind w:right="140"/>
        <w:rPr>
          <w:rFonts w:eastAsia="Calibri"/>
        </w:rPr>
      </w:pPr>
    </w:p>
    <w:p w:rsidR="548DFB4B" w:rsidP="548DFB4B" w:rsidRDefault="548DFB4B" w14:paraId="649DC139" w14:textId="7DAC37CE">
      <w:pPr>
        <w:spacing w:after="160" w:line="259" w:lineRule="auto"/>
        <w:ind w:right="140"/>
        <w:rPr>
          <w:rFonts w:eastAsia="Calibri"/>
        </w:rPr>
      </w:pPr>
    </w:p>
    <w:p w:rsidR="4F8F4DA9" w:rsidP="548DFB4B" w:rsidRDefault="4F8F4DA9" w14:paraId="1BB29FD5" w14:textId="4FEF9922">
      <w:pPr>
        <w:spacing w:before="0" w:beforeAutospacing="off" w:after="160" w:afterAutospacing="off" w:line="257" w:lineRule="auto"/>
        <w:ind w:left="992" w:right="140"/>
      </w:pPr>
      <w:r w:rsidRPr="548DFB4B" w:rsidR="4F8F4DA9">
        <w:rPr>
          <w:rFonts w:ascii="Calibri" w:hAnsi="Calibri" w:eastAsia="Calibri" w:cs="Calibri"/>
          <w:noProof w:val="0"/>
          <w:sz w:val="40"/>
          <w:szCs w:val="40"/>
          <w:lang w:val="sv-SE"/>
        </w:rPr>
        <w:t>Generellt om medicinering vid PONV</w:t>
      </w:r>
    </w:p>
    <w:p w:rsidR="4F8F4DA9" w:rsidP="548DFB4B" w:rsidRDefault="4F8F4DA9" w14:paraId="3F46F8CE" w14:textId="2D2FEC14">
      <w:pPr>
        <w:spacing w:before="0" w:beforeAutospacing="off" w:after="160" w:afterAutospacing="off" w:line="257" w:lineRule="auto"/>
        <w:ind w:left="992" w:right="140"/>
      </w:pP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PONV trots given profylax</w:t>
      </w:r>
    </w:p>
    <w:p w:rsidR="7D1AC6BC" w:rsidP="14F0A874" w:rsidRDefault="7D1AC6BC" w14:paraId="4E80518A" w14:textId="4D67AFAF">
      <w:pPr>
        <w:spacing w:before="0" w:beforeAutospacing="off" w:after="160" w:afterAutospacing="off" w:line="257" w:lineRule="auto"/>
        <w:ind w:left="992" w:right="140"/>
      </w:pPr>
      <w:r w:rsidRPr="14F0A874" w:rsidR="7D1AC6B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Om patienten drabbats av PONV trots profylax – byt preparat! Kombinera läkemedel - öka inte dosen. Att upprepa antiemetika från samma farmakologiska klass inom 6 timmar ger ingen ytterligare effekt. Efter 6 timmar kan en ny dos ges om alternativ saknas.</w:t>
      </w:r>
    </w:p>
    <w:p w:rsidR="7D1AC6BC" w:rsidP="14F0A874" w:rsidRDefault="7D1AC6BC" w14:paraId="2CA1DBBB" w14:textId="5B4BB02B">
      <w:pPr>
        <w:spacing w:before="0" w:beforeAutospacing="off" w:after="160" w:afterAutospacing="off" w:line="257" w:lineRule="auto"/>
        <w:ind w:left="992" w:right="140"/>
      </w:pPr>
      <w:r w:rsidRPr="14F0A874" w:rsidR="7D1AC6B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Ge ej upprepad kortisondos första dygnet om maximal profylaxdos har givits.</w:t>
      </w:r>
    </w:p>
    <w:p w:rsidR="14F0A874" w:rsidP="14F0A874" w:rsidRDefault="14F0A874" w14:paraId="0B96C9DE" w14:textId="3376AE49">
      <w:pPr>
        <w:spacing w:before="0" w:beforeAutospacing="off" w:after="160" w:afterAutospacing="off" w:line="257" w:lineRule="auto"/>
        <w:ind w:left="992"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8F4DA9" w:rsidP="548DFB4B" w:rsidRDefault="4F8F4DA9" w14:paraId="068F43B7" w14:textId="78B0A5CB">
      <w:pPr>
        <w:spacing w:before="0" w:beforeAutospacing="off" w:after="160" w:afterAutospacing="off"/>
        <w:ind w:left="992" w:right="170"/>
      </w:pP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Ondansetron</w:t>
      </w: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4F8F4DA9" w:rsidP="548DFB4B" w:rsidRDefault="4F8F4DA9" w14:paraId="27F8BFAD" w14:textId="3C815C06">
      <w:pPr>
        <w:spacing w:before="0" w:beforeAutospacing="off" w:after="0" w:afterAutospacing="off"/>
        <w:ind w:left="992" w:right="140"/>
      </w:pPr>
      <w:r w:rsidRPr="548DFB4B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Dosering</w:t>
      </w:r>
    </w:p>
    <w:p w:rsidR="4F8F4DA9" w:rsidP="14F0A874" w:rsidRDefault="4F8F4DA9" w14:paraId="36B4E111" w14:textId="47C9D8E2">
      <w:pPr>
        <w:pStyle w:val="Liststycke"/>
        <w:spacing w:before="0" w:beforeAutospacing="off" w:after="0" w:afterAutospacing="off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0,1 mg/kg </w:t>
      </w:r>
      <w:r w:rsidRPr="14F0A874" w:rsidR="7D581EBB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IV</w:t>
      </w:r>
      <w:r w:rsidRPr="14F0A874" w:rsidR="5F72BCC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 Rekommenderad profylaxdos till vuxen är 4 mg. Ges i slutet av operation.</w:t>
      </w: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ACFCD31" w:rsidP="14F0A874" w:rsidRDefault="5ACFCD31" w14:paraId="10EBEF1E" w14:textId="57FAB8DC">
      <w:pPr>
        <w:pStyle w:val="Liststycke"/>
        <w:spacing w:before="0" w:beforeAutospacing="off" w:after="0" w:afterAutospacing="off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5ACFCD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Inj</w:t>
      </w:r>
      <w:r w:rsidRPr="14F0A874" w:rsidR="5ACFCD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. </w:t>
      </w:r>
      <w:r w:rsidRPr="14F0A874" w:rsidR="5ACFCD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Ondansetron</w:t>
      </w:r>
      <w:r w:rsidRPr="14F0A874" w:rsidR="5ACFCD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4 mg iv motsvarar 8 mg per os.</w:t>
      </w:r>
    </w:p>
    <w:p w:rsidR="4F8F4DA9" w:rsidP="14F0A874" w:rsidRDefault="4F8F4DA9" w14:paraId="4B6613F7" w14:textId="206A95EF" w14:noSpellErr="1">
      <w:pPr>
        <w:pStyle w:val="Liststycke"/>
        <w:spacing w:before="0" w:beforeAutospacing="off" w:after="0" w:afterAutospacing="off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4 mg iv som behandlingsdos vid etablerad PONV på UVA.</w:t>
      </w:r>
    </w:p>
    <w:p w:rsidR="4F8F4DA9" w:rsidP="14F0A874" w:rsidRDefault="4F8F4DA9" w14:paraId="26732DD9" w14:textId="28A21E7A">
      <w:pPr>
        <w:spacing w:before="0" w:beforeAutospacing="off" w:after="0" w:afterAutospacing="off"/>
        <w:ind w:left="992" w:right="140"/>
      </w:pPr>
      <w:r>
        <w:br/>
      </w: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14F0A874" w:rsidR="528838B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Högre dos än den rekommenderade profylaxdosen på 4 mg iv ger begränsad ytterligare effekt, medan biverkningarna ökar.</w:t>
      </w:r>
    </w:p>
    <w:p w:rsidR="4F8F4DA9" w:rsidP="14F0A874" w:rsidRDefault="4F8F4DA9" w14:paraId="4E348B72" w14:textId="428005E4">
      <w:pPr>
        <w:spacing w:before="0" w:beforeAutospacing="off" w:after="160" w:afterAutospacing="off"/>
        <w:ind w:left="992" w:right="14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</w:p>
    <w:p w:rsidR="14F0A874" w:rsidP="14F0A874" w:rsidRDefault="14F0A874" w14:paraId="042CF0CF" w14:textId="4A2A5271">
      <w:pPr>
        <w:spacing w:before="0" w:beforeAutospacing="off" w:after="160" w:afterAutospacing="off"/>
        <w:ind w:left="992" w:right="14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</w:p>
    <w:p w:rsidR="14F0A874" w:rsidP="14F0A874" w:rsidRDefault="14F0A874" w14:paraId="653B3D62" w14:textId="07177DC8">
      <w:pPr>
        <w:spacing w:before="0" w:beforeAutospacing="off" w:after="160" w:afterAutospacing="off"/>
        <w:ind w:left="992" w:right="14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</w:p>
    <w:p w:rsidR="14F0A874" w:rsidP="14F0A874" w:rsidRDefault="14F0A874" w14:paraId="627FE8AC" w14:textId="6EDEE73D">
      <w:pPr>
        <w:spacing w:before="0" w:beforeAutospacing="off" w:after="160" w:afterAutospacing="off"/>
        <w:ind w:left="992" w:right="14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</w:p>
    <w:p w:rsidR="4F8F4DA9" w:rsidP="548DFB4B" w:rsidRDefault="4F8F4DA9" w14:paraId="5F80A74C" w14:textId="38E98F75">
      <w:pPr>
        <w:spacing w:before="0" w:beforeAutospacing="off" w:after="160" w:afterAutospacing="off"/>
        <w:ind w:left="992" w:right="140"/>
      </w:pPr>
      <w:r w:rsidRPr="548DFB4B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Droperidol </w:t>
      </w:r>
    </w:p>
    <w:p w:rsidR="4F8F4DA9" w:rsidP="548DFB4B" w:rsidRDefault="4F8F4DA9" w14:paraId="7124FCB8" w14:textId="5ABB20A4">
      <w:pPr>
        <w:spacing w:before="0" w:beforeAutospacing="off" w:after="160" w:afterAutospacing="off"/>
        <w:ind w:left="992" w:right="140"/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Dosering</w:t>
      </w:r>
    </w:p>
    <w:p w:rsidR="069F1016" w:rsidP="14F0A874" w:rsidRDefault="069F1016" w14:paraId="29843111" w14:textId="3309D191">
      <w:pPr>
        <w:pStyle w:val="Liststycke"/>
        <w:spacing w:before="0" w:beforeAutospacing="off" w:after="0" w:afterAutospacing="off"/>
        <w:ind w:left="1770" w:right="14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069F10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0,625–1,25 mg iv. Rekommenderad profylaxdos till vuxna. Ges i slutet av operation.</w:t>
      </w:r>
    </w:p>
    <w:p w:rsidR="069F1016" w:rsidP="14F0A874" w:rsidRDefault="069F1016" w14:paraId="3BC71CD4" w14:textId="170A951E">
      <w:pPr>
        <w:pStyle w:val="Liststycke"/>
        <w:spacing w:before="0" w:beforeAutospacing="off" w:after="0" w:afterAutospacing="off"/>
        <w:ind w:left="1770" w:right="14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069F10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0,625 – 1,25 mg iv som behandlingsdos vid etablerad PONV på UVA.</w:t>
      </w:r>
    </w:p>
    <w:p w:rsidR="069F1016" w:rsidP="14F0A874" w:rsidRDefault="069F1016" w14:paraId="0BE965C9" w14:textId="316E2B1A">
      <w:pPr>
        <w:spacing w:before="0" w:beforeAutospacing="off" w:after="160" w:afterAutospacing="off"/>
        <w:ind w:left="992" w:right="140"/>
      </w:pPr>
      <w:r w:rsidRPr="14F0A874" w:rsidR="069F10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Undvik vid förlängd QT-tid och använd endast med försiktighet vid annan känd arytmi. Den tidigare rekommendationen att elektrolyter och EKG ska tas innan administrering, samt att patienten ska vara EKG-övervakad i 2–3 timmar efter given dos har tonats ned, då risken för arytmi är låg om dosen &lt;1,25 mg.</w:t>
      </w:r>
    </w:p>
    <w:p w:rsidR="069F1016" w:rsidP="14F0A874" w:rsidRDefault="069F1016" w14:paraId="0C3551F6" w14:textId="2E145662">
      <w:pPr>
        <w:spacing w:before="0" w:beforeAutospacing="off" w:after="160" w:afterAutospacing="off"/>
        <w:ind w:left="992" w:right="140"/>
      </w:pPr>
      <w:r w:rsidRPr="14F0A874" w:rsidR="069F101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Kombinationen droperidol plus ondansetron ger inte större QT-förlängning än de respektive läkemedlen var för sig.</w:t>
      </w:r>
    </w:p>
    <w:p w:rsidR="14F0A874" w:rsidP="14F0A874" w:rsidRDefault="14F0A874" w14:paraId="5B4656C7" w14:textId="20A40FEF">
      <w:pPr>
        <w:spacing w:before="0" w:beforeAutospacing="off" w:after="160" w:afterAutospacing="off"/>
        <w:ind w:left="992"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8F4DA9" w:rsidP="548DFB4B" w:rsidRDefault="4F8F4DA9" w14:paraId="3335E62C" w14:textId="5F92A873">
      <w:pPr>
        <w:spacing w:before="0" w:beforeAutospacing="off" w:after="160" w:afterAutospacing="off"/>
        <w:ind w:left="992" w:right="140"/>
      </w:pP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14F0A874" w:rsidR="4F8F4DA9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Betametason </w:t>
      </w:r>
    </w:p>
    <w:p w:rsidR="4F8F4DA9" w:rsidP="548DFB4B" w:rsidRDefault="4F8F4DA9" w14:paraId="1F05F8EB" w14:textId="741F3ED7">
      <w:pPr>
        <w:spacing w:before="0" w:beforeAutospacing="off" w:after="160" w:afterAutospacing="off"/>
        <w:ind w:left="992" w:right="140"/>
      </w:pPr>
      <w:r w:rsidRPr="14F0A874" w:rsidR="4F8F4DA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Dosering</w:t>
      </w:r>
    </w:p>
    <w:p w:rsidR="3ABED770" w:rsidP="14F0A874" w:rsidRDefault="3ABED770" w14:paraId="69F64386" w14:textId="2AD0369A">
      <w:pPr>
        <w:pStyle w:val="Liststycke"/>
        <w:spacing w:before="0" w:beforeAutospacing="off" w:after="0" w:afterAutospacing="off"/>
        <w:ind w:left="1770" w:right="14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3ABED77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0,1 mg/kg, maxdos 8 mg iv till vuxna, ges vid induktion av anestesin. </w:t>
      </w:r>
    </w:p>
    <w:p w:rsidR="3ABED770" w:rsidP="14F0A874" w:rsidRDefault="3ABED770" w14:paraId="5045B0BD" w14:textId="587ECB40">
      <w:pPr>
        <w:pStyle w:val="Liststycke"/>
        <w:spacing w:before="0" w:beforeAutospacing="off" w:after="0" w:afterAutospacing="off"/>
        <w:ind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4F0A874" w:rsidR="3ABED77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En enstaka dos med 4 mg iv ger vanligen endast en måttlig och övergående påverkan på blodsockret </w:t>
      </w:r>
      <w:r w:rsidRPr="14F0A874" w:rsidR="3ABED77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peroperativt</w:t>
      </w:r>
      <w:r w:rsidRPr="14F0A874" w:rsidR="3ABED77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även hos diabetiker.</w:t>
      </w:r>
    </w:p>
    <w:p w:rsidR="548DFB4B" w:rsidP="548DFB4B" w:rsidRDefault="548DFB4B" w14:paraId="11C8290D" w14:textId="4586F3BB">
      <w:pPr>
        <w:spacing w:after="160" w:line="259" w:lineRule="auto"/>
        <w:ind w:right="140"/>
        <w:rPr>
          <w:rFonts w:eastAsia="Calibri"/>
        </w:rPr>
      </w:pPr>
    </w:p>
    <w:p w:rsidRPr="002C26EB" w:rsidR="002C26EB" w:rsidP="14F0A874" w:rsidRDefault="002C26EB" w14:paraId="59E89631" w14:textId="1C798927">
      <w:pPr>
        <w:pStyle w:val="Normal"/>
        <w:spacing w:after="160" w:line="259" w:lineRule="auto"/>
        <w:ind w:right="140"/>
        <w:rPr>
          <w:rFonts w:eastAsia="Calibri"/>
        </w:rPr>
      </w:pPr>
    </w:p>
    <w:p w:rsidRPr="007521D4" w:rsidR="002C26EB" w:rsidP="007521D4" w:rsidRDefault="002C26EB" w14:paraId="4AD6CE70" w14:textId="77777777">
      <w:pPr>
        <w:pStyle w:val="Rubrik2"/>
        <w:ind w:right="140"/>
      </w:pPr>
      <w:r w:rsidR="0D02E1C0">
        <w:rPr/>
        <w:t>Referens</w:t>
      </w:r>
    </w:p>
    <w:bookmarkEnd w:id="5"/>
    <w:p w:rsidR="4F9A6C4C" w:rsidP="548DFB4B" w:rsidRDefault="4F9A6C4C" w14:paraId="6FC34EB9" w14:textId="76DEF8B5">
      <w:pPr>
        <w:spacing w:before="0" w:beforeAutospacing="off" w:after="0" w:afterAutospacing="off"/>
        <w:ind w:left="992" w:right="140"/>
      </w:pPr>
      <w:r w:rsidRPr="548DFB4B" w:rsidR="4F9A6C4C">
        <w:rPr>
          <w:rFonts w:ascii="Times New Roman" w:hAnsi="Times New Roman" w:eastAsia="Times New Roman" w:cs="Times New Roman"/>
          <w:noProof w:val="0"/>
          <w:sz w:val="24"/>
          <w:szCs w:val="24"/>
          <w:lang w:val="en-GB"/>
        </w:rPr>
        <w:t>Fourth Consensus Guidelines for the Management of PONV, 2020 Gan TJ et al. Anaesthesia &amp; Analgesia 2020</w:t>
      </w:r>
    </w:p>
    <w:p w:rsidR="4F9A6C4C" w:rsidP="548DFB4B" w:rsidRDefault="4F9A6C4C" w14:paraId="17AF2EAE" w14:textId="19AFBE85">
      <w:pPr>
        <w:spacing w:before="0" w:beforeAutospacing="off" w:after="0" w:afterAutospacing="off"/>
        <w:ind w:left="992" w:right="140"/>
      </w:pPr>
      <w:r w:rsidRPr="548DFB4B" w:rsidR="4F9A6C4C">
        <w:rPr>
          <w:rFonts w:ascii="Times New Roman" w:hAnsi="Times New Roman" w:eastAsia="Times New Roman" w:cs="Times New Roman"/>
          <w:noProof w:val="0"/>
          <w:sz w:val="24"/>
          <w:szCs w:val="24"/>
          <w:lang w:val="en-GB"/>
        </w:rPr>
        <w:t xml:space="preserve"> </w:t>
      </w:r>
    </w:p>
    <w:p w:rsidR="4F9A6C4C" w:rsidP="548DFB4B" w:rsidRDefault="4F9A6C4C" w14:paraId="03C7B4A0" w14:textId="65478B5C">
      <w:pPr>
        <w:tabs>
          <w:tab w:val="left" w:leader="none" w:pos="2203"/>
        </w:tabs>
        <w:spacing w:before="0" w:beforeAutospacing="off" w:after="0" w:afterAutospacing="off"/>
        <w:ind w:left="992" w:right="140"/>
        <w:rPr>
          <w:rFonts w:ascii="Calibri" w:hAnsi="Calibri" w:eastAsia="Calibri" w:cs="Calibri"/>
          <w:noProof w:val="0"/>
          <w:color w:val="3D464D"/>
          <w:sz w:val="24"/>
          <w:szCs w:val="24"/>
          <w:lang w:val="en-GB"/>
        </w:rPr>
      </w:pPr>
      <w:r w:rsidRPr="548DFB4B" w:rsidR="4F9A6C4C">
        <w:rPr>
          <w:rFonts w:ascii="Times New Roman" w:hAnsi="Times New Roman" w:eastAsia="Times New Roman" w:cs="Times New Roman"/>
          <w:noProof w:val="0"/>
          <w:sz w:val="24"/>
          <w:szCs w:val="24"/>
          <w:lang w:val="en-GB"/>
        </w:rPr>
        <w:t>Apfel CC et al.: Comparison of predictive</w:t>
      </w:r>
      <w:r w:rsidRPr="548DFB4B" w:rsidR="4F9A6C4C">
        <w:rPr>
          <w:rFonts w:ascii="Calibri" w:hAnsi="Calibri" w:eastAsia="Calibri" w:cs="Calibri"/>
          <w:noProof w:val="0"/>
          <w:color w:val="3D464D"/>
          <w:sz w:val="24"/>
          <w:szCs w:val="24"/>
          <w:lang w:val="en-GB"/>
        </w:rPr>
        <w:t xml:space="preserve"> </w:t>
      </w:r>
      <w:r w:rsidRPr="548DFB4B" w:rsidR="4F9A6C4C">
        <w:rPr>
          <w:rFonts w:ascii="Times New Roman" w:hAnsi="Times New Roman" w:eastAsia="Times New Roman" w:cs="Times New Roman"/>
          <w:noProof w:val="0"/>
          <w:sz w:val="24"/>
          <w:szCs w:val="24"/>
          <w:lang w:val="en-GB"/>
        </w:rPr>
        <w:t>models for postoperative nausea and vomiting. Br J Anaesth 2002; 88:234-40.</w:t>
      </w:r>
    </w:p>
    <w:p w:rsidR="548DFB4B" w:rsidP="548DFB4B" w:rsidRDefault="548DFB4B" w14:paraId="693718C1" w14:textId="5B361433">
      <w:pPr>
        <w:tabs>
          <w:tab w:val="left" w:leader="none" w:pos="2203"/>
        </w:tabs>
        <w:spacing w:after="0" w:line="384" w:lineRule="auto"/>
        <w:ind w:right="140"/>
        <w:rPr>
          <w:rFonts w:ascii="Calibri" w:hAnsi="Calibri" w:eastAsia="Calibri" w:cs="Calibri"/>
          <w:color w:val="3D464D"/>
        </w:rPr>
      </w:pPr>
    </w:p>
    <w:p w:rsidRPr="002C26EB" w:rsidR="002C26EB" w:rsidP="007521D4" w:rsidRDefault="002C26EB" w14:paraId="64A070DF" w14:textId="77777777">
      <w:pPr>
        <w:spacing w:after="0" w:line="240" w:lineRule="auto"/>
        <w:ind w:right="140"/>
        <w:rPr>
          <w:szCs w:val="20"/>
        </w:rPr>
      </w:pPr>
    </w:p>
    <w:p w:rsidRPr="002C26EB" w:rsidR="002C26EB" w:rsidP="007521D4" w:rsidRDefault="002C26EB" w14:paraId="7A16F825" w14:textId="77777777">
      <w:pPr>
        <w:spacing w:after="0" w:line="240" w:lineRule="auto"/>
        <w:ind w:right="140"/>
        <w:rPr>
          <w:szCs w:val="20"/>
        </w:rPr>
      </w:pPr>
    </w:p>
    <w:p w:rsidRPr="002C26EB" w:rsidR="002C26EB" w:rsidP="007521D4" w:rsidRDefault="002C26EB" w14:paraId="5E3A9B2D" w14:textId="77777777">
      <w:pPr>
        <w:spacing w:after="0" w:line="240" w:lineRule="auto"/>
        <w:ind w:right="140"/>
        <w:rPr>
          <w:szCs w:val="20"/>
        </w:rPr>
      </w:pPr>
    </w:p>
    <w:p w:rsidRPr="002C26EB" w:rsidR="002C26EB" w:rsidP="007521D4" w:rsidRDefault="002C26EB" w14:paraId="095FF161" w14:textId="77777777">
      <w:pPr>
        <w:spacing w:after="0" w:line="240" w:lineRule="auto"/>
        <w:ind w:right="140"/>
        <w:rPr>
          <w:szCs w:val="20"/>
        </w:rPr>
      </w:pPr>
    </w:p>
    <w:p w:rsidRPr="002C26EB" w:rsidR="002C26EB" w:rsidP="007521D4" w:rsidRDefault="002C26EB" w14:paraId="40BBDC85" w14:textId="77777777">
      <w:pPr>
        <w:spacing w:after="0" w:line="240" w:lineRule="auto"/>
        <w:ind w:right="140"/>
        <w:rPr>
          <w:szCs w:val="20"/>
        </w:rPr>
      </w:pPr>
    </w:p>
    <w:bookmarkEnd w:id="0"/>
    <w:p w:rsidRPr="00536A5A" w:rsidR="00536A5A" w:rsidP="007521D4" w:rsidRDefault="00536A5A" w14:paraId="76B9F95B" w14:textId="24513497">
      <w:pPr>
        <w:spacing w:after="0" w:line="240" w:lineRule="auto"/>
        <w:ind w:right="140"/>
      </w:pPr>
    </w:p>
    <w:sectPr w:rsidRPr="00536A5A" w:rsidR="00536A5A" w:rsidSect="002C26E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7792" w:rsidRDefault="00DA7792" w14:paraId="641D218C" w14:textId="77777777">
      <w:r>
        <w:separator/>
      </w:r>
    </w:p>
  </w:endnote>
  <w:endnote w:type="continuationSeparator" w:id="0">
    <w:p w:rsidR="00DA7792" w:rsidRDefault="00DA7792" w14:paraId="3892A147" w14:textId="77777777">
      <w:r>
        <w:continuationSeparator/>
      </w:r>
    </w:p>
  </w:endnote>
  <w:endnote w:type="continuationNotice" w:id="1">
    <w:p w:rsidR="00DA7792" w:rsidRDefault="00DA7792" w14:paraId="3675F5D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7792" w:rsidRDefault="00DA7792" w14:paraId="603DEAA6" w14:textId="77777777"/>
  </w:footnote>
  <w:footnote w:type="continuationSeparator" w:id="0">
    <w:p w:rsidR="00DA7792" w:rsidRDefault="00DA7792" w14:paraId="6F261913" w14:textId="77777777">
      <w:r>
        <w:continuationSeparator/>
      </w:r>
    </w:p>
  </w:footnote>
  <w:footnote w:type="continuationNotice" w:id="1">
    <w:p w:rsidR="00DA7792" w:rsidRDefault="00DA7792" w14:paraId="547EA98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5">
    <w:nsid w:val="214e66d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bce2f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161ce8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6144f1d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fdf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17836e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>
      <w:start w:val="1"/>
      <w:numFmt w:val="bullet"/>
      <w:pStyle w:val="Liststycke"/>
      <w:lvlText w:val="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E7A05E0"/>
    <w:multiLevelType w:val="multilevel"/>
    <w:tmpl w:val="2F88C0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CB56FA8"/>
    <w:multiLevelType w:val="hybridMultilevel"/>
    <w:tmpl w:val="B3622CEE"/>
    <w:lvl w:ilvl="0" w:tplc="5F20AD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664B8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358B21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D90215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9CAC4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58A6C8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E8F8C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04408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016829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1" w16cid:durableId="1372270420">
    <w:abstractNumId w:val="19"/>
  </w:num>
  <w:num w:numId="2" w16cid:durableId="832261902">
    <w:abstractNumId w:val="14"/>
  </w:num>
  <w:num w:numId="3" w16cid:durableId="1236205584">
    <w:abstractNumId w:val="0"/>
  </w:num>
  <w:num w:numId="4" w16cid:durableId="1394425680">
    <w:abstractNumId w:val="6"/>
  </w:num>
  <w:num w:numId="5" w16cid:durableId="1848211016">
    <w:abstractNumId w:val="16"/>
  </w:num>
  <w:num w:numId="6" w16cid:durableId="1759597719">
    <w:abstractNumId w:val="2"/>
  </w:num>
  <w:num w:numId="7" w16cid:durableId="1407217484">
    <w:abstractNumId w:val="11"/>
  </w:num>
  <w:num w:numId="8" w16cid:durableId="1493061359">
    <w:abstractNumId w:val="8"/>
  </w:num>
  <w:num w:numId="9" w16cid:durableId="944075073">
    <w:abstractNumId w:val="1"/>
  </w:num>
  <w:num w:numId="10" w16cid:durableId="389227327">
    <w:abstractNumId w:val="1"/>
  </w:num>
  <w:num w:numId="11" w16cid:durableId="2106227543">
    <w:abstractNumId w:val="3"/>
  </w:num>
  <w:num w:numId="12" w16cid:durableId="522742318">
    <w:abstractNumId w:val="4"/>
  </w:num>
  <w:num w:numId="13" w16cid:durableId="1657761836">
    <w:abstractNumId w:val="13"/>
  </w:num>
  <w:num w:numId="14" w16cid:durableId="1061320989">
    <w:abstractNumId w:val="9"/>
  </w:num>
  <w:num w:numId="15" w16cid:durableId="2107193694">
    <w:abstractNumId w:val="7"/>
  </w:num>
  <w:num w:numId="16" w16cid:durableId="1790664876">
    <w:abstractNumId w:val="12"/>
  </w:num>
  <w:num w:numId="17" w16cid:durableId="358242214">
    <w:abstractNumId w:val="5"/>
  </w:num>
  <w:num w:numId="18" w16cid:durableId="713431793">
    <w:abstractNumId w:val="10"/>
  </w:num>
  <w:num w:numId="19" w16cid:durableId="817188769">
    <w:abstractNumId w:val="17"/>
  </w:num>
  <w:num w:numId="20" w16cid:durableId="1386220138">
    <w:abstractNumId w:val="15"/>
  </w:num>
  <w:num w:numId="21" w16cid:durableId="6877563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BE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6E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1D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6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25B"/>
    <w:rsid w:val="00CC167C"/>
    <w:rsid w:val="00CC52D9"/>
    <w:rsid w:val="00CD6647"/>
    <w:rsid w:val="00CE4B73"/>
    <w:rsid w:val="00CF70BB"/>
    <w:rsid w:val="00D074DB"/>
    <w:rsid w:val="00D139CF"/>
    <w:rsid w:val="00D13DE4"/>
    <w:rsid w:val="00D37E7F"/>
    <w:rsid w:val="00D47AD7"/>
    <w:rsid w:val="00D51529"/>
    <w:rsid w:val="00D769E4"/>
    <w:rsid w:val="00D85218"/>
    <w:rsid w:val="00D915B1"/>
    <w:rsid w:val="00DA299D"/>
    <w:rsid w:val="00DA65C4"/>
    <w:rsid w:val="00DA7792"/>
    <w:rsid w:val="00DB27B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90193A"/>
    <w:rsid w:val="024801E3"/>
    <w:rsid w:val="050560C2"/>
    <w:rsid w:val="069F1016"/>
    <w:rsid w:val="076BA004"/>
    <w:rsid w:val="085A301D"/>
    <w:rsid w:val="08BB5272"/>
    <w:rsid w:val="09D347B2"/>
    <w:rsid w:val="0B829316"/>
    <w:rsid w:val="0C78E073"/>
    <w:rsid w:val="0C97E6B0"/>
    <w:rsid w:val="0D02E1C0"/>
    <w:rsid w:val="0F2A604D"/>
    <w:rsid w:val="0FCC0570"/>
    <w:rsid w:val="1045A3CD"/>
    <w:rsid w:val="10CF0394"/>
    <w:rsid w:val="1125D888"/>
    <w:rsid w:val="1289EAAF"/>
    <w:rsid w:val="12CD89D7"/>
    <w:rsid w:val="14F0A874"/>
    <w:rsid w:val="17801072"/>
    <w:rsid w:val="1796D857"/>
    <w:rsid w:val="19E7AF85"/>
    <w:rsid w:val="1A27999C"/>
    <w:rsid w:val="1A27999C"/>
    <w:rsid w:val="1D7AE917"/>
    <w:rsid w:val="1DB8A5C8"/>
    <w:rsid w:val="2031498A"/>
    <w:rsid w:val="21C6C578"/>
    <w:rsid w:val="22C1BA15"/>
    <w:rsid w:val="23BFCE3D"/>
    <w:rsid w:val="25F19512"/>
    <w:rsid w:val="25F19512"/>
    <w:rsid w:val="28CF6D99"/>
    <w:rsid w:val="2E058ECC"/>
    <w:rsid w:val="2F803BDF"/>
    <w:rsid w:val="33B73E63"/>
    <w:rsid w:val="3ABED770"/>
    <w:rsid w:val="4405A606"/>
    <w:rsid w:val="492C42BD"/>
    <w:rsid w:val="4A05B85C"/>
    <w:rsid w:val="4DDBF5D0"/>
    <w:rsid w:val="4F8F4DA9"/>
    <w:rsid w:val="4F9A6C4C"/>
    <w:rsid w:val="4FA59B83"/>
    <w:rsid w:val="50BE3266"/>
    <w:rsid w:val="522A21B5"/>
    <w:rsid w:val="528838B7"/>
    <w:rsid w:val="544143D8"/>
    <w:rsid w:val="548DFB4B"/>
    <w:rsid w:val="56963031"/>
    <w:rsid w:val="56C31C4C"/>
    <w:rsid w:val="57F36CA3"/>
    <w:rsid w:val="5A36850A"/>
    <w:rsid w:val="5ACFCD31"/>
    <w:rsid w:val="5B54AD0A"/>
    <w:rsid w:val="5BD8CA57"/>
    <w:rsid w:val="5C2A0CFA"/>
    <w:rsid w:val="5C2F4736"/>
    <w:rsid w:val="5CA36125"/>
    <w:rsid w:val="5E2A9F43"/>
    <w:rsid w:val="5E2A9F43"/>
    <w:rsid w:val="5E3C3D5E"/>
    <w:rsid w:val="5F72BCC7"/>
    <w:rsid w:val="6147E090"/>
    <w:rsid w:val="647B2B65"/>
    <w:rsid w:val="6797039C"/>
    <w:rsid w:val="6B2CF8ED"/>
    <w:rsid w:val="713E00BD"/>
    <w:rsid w:val="7241AFE3"/>
    <w:rsid w:val="73BB060E"/>
    <w:rsid w:val="74211A07"/>
    <w:rsid w:val="79F6BC56"/>
    <w:rsid w:val="7B6CF32A"/>
    <w:rsid w:val="7D1AC6BC"/>
    <w:rsid w:val="7D581EBB"/>
    <w:rsid w:val="7F451D91"/>
    <w:rsid w:val="7F58A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PONV profylax och behandling</dc:title>
  <dc:subject/>
  <dc:creator>patrik.jens.johansson@vgregion.se</dc:creator>
  <keywords/>
  <lastModifiedBy>Caroline Edvardsson</lastModifiedBy>
  <revision>11</revision>
  <lastPrinted>2016-03-31T10:56:00.0000000Z</lastPrinted>
  <dcterms:created xsi:type="dcterms:W3CDTF">2022-05-24T04:13:00.0000000Z</dcterms:created>
  <dcterms:modified xsi:type="dcterms:W3CDTF">2026-04-02T06:10:30.0000000Z</dcterms:modified>
</coreProperties>
</file>