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BCD235" w14:textId="77777777" w:rsidR="002C26EB" w:rsidRDefault="002C26EB" w:rsidP="007521D4">
      <w:pPr>
        <w:pStyle w:val="Rubrik2"/>
        <w:ind w:right="140"/>
        <w:sectPr w:rsidR="002C26EB" w:rsidSect="002C26E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5D8FD0B" w14:textId="77777777" w:rsidR="002C26EB" w:rsidRPr="002C26EB" w:rsidRDefault="002C26EB" w:rsidP="007521D4">
      <w:pPr>
        <w:pStyle w:val="Rubrik1"/>
        <w:ind w:right="140"/>
      </w:pPr>
      <w:bookmarkStart w:id="1" w:name="_Toc501440349"/>
      <w:r w:rsidRPr="002C26EB">
        <w:t>PONV profylax och behandling</w:t>
      </w:r>
    </w:p>
    <w:p w14:paraId="361D5685" w14:textId="77777777" w:rsidR="00D13DE4" w:rsidRDefault="00D13DE4" w:rsidP="007521D4">
      <w:pPr>
        <w:pStyle w:val="Rubrik2"/>
        <w:ind w:right="140"/>
      </w:pPr>
    </w:p>
    <w:p w14:paraId="607054E7" w14:textId="690669FF" w:rsidR="002C26EB" w:rsidRPr="002C26EB" w:rsidRDefault="002C26EB" w:rsidP="007521D4">
      <w:pPr>
        <w:pStyle w:val="Rubrik2"/>
        <w:ind w:right="140"/>
      </w:pPr>
      <w:r w:rsidRPr="002C26EB">
        <w:t>Revidering i denna version</w:t>
      </w:r>
      <w:bookmarkEnd w:id="1"/>
      <w:r w:rsidRPr="002C26EB">
        <w:t>:</w:t>
      </w:r>
    </w:p>
    <w:p w14:paraId="50760DD0" w14:textId="5A0DB5CE" w:rsidR="002C26EB" w:rsidRPr="002C26EB" w:rsidRDefault="007521D4" w:rsidP="007521D4">
      <w:pPr>
        <w:spacing w:after="0" w:line="240" w:lineRule="auto"/>
        <w:ind w:right="140"/>
        <w:rPr>
          <w:szCs w:val="20"/>
        </w:rPr>
      </w:pPr>
      <w:r>
        <w:rPr>
          <w:szCs w:val="20"/>
        </w:rPr>
        <w:t>Ingen revidering</w:t>
      </w:r>
    </w:p>
    <w:p w14:paraId="5BFCD3FB" w14:textId="60556EEB" w:rsidR="002C26EB" w:rsidRPr="007521D4" w:rsidRDefault="002C26EB" w:rsidP="007521D4">
      <w:pPr>
        <w:pStyle w:val="Rubrik2"/>
        <w:ind w:right="140"/>
      </w:pPr>
      <w:bookmarkStart w:id="2" w:name="_Toc501440348"/>
      <w:r w:rsidRPr="007521D4">
        <w:t>Bakgrund</w:t>
      </w:r>
      <w:bookmarkEnd w:id="2"/>
    </w:p>
    <w:p w14:paraId="0D5D21D9" w14:textId="77777777" w:rsidR="002C26EB" w:rsidRPr="002C26EB" w:rsidRDefault="002C26EB" w:rsidP="007521D4">
      <w:pPr>
        <w:spacing w:after="160" w:line="259" w:lineRule="auto"/>
        <w:ind w:right="140"/>
        <w:rPr>
          <w:rFonts w:ascii="Calibri" w:eastAsia="Calibri" w:hAnsi="Calibri" w:cs="Calibri"/>
          <w:szCs w:val="20"/>
        </w:rPr>
      </w:pPr>
      <w:r w:rsidRPr="002C26EB">
        <w:rPr>
          <w:rFonts w:ascii="Calibri" w:eastAsia="Calibri" w:hAnsi="Calibri" w:cs="Calibri"/>
          <w:szCs w:val="20"/>
        </w:rPr>
        <w:t xml:space="preserve">Postoperativt illamående och kräkning, eller det engelska "Post Operative </w:t>
      </w:r>
      <w:proofErr w:type="spellStart"/>
      <w:r w:rsidRPr="002C26EB">
        <w:rPr>
          <w:rFonts w:ascii="Calibri" w:eastAsia="Calibri" w:hAnsi="Calibri" w:cs="Calibri"/>
          <w:szCs w:val="20"/>
        </w:rPr>
        <w:t>Nausea</w:t>
      </w:r>
      <w:proofErr w:type="spellEnd"/>
      <w:r w:rsidRPr="002C26EB">
        <w:rPr>
          <w:rFonts w:ascii="Calibri" w:eastAsia="Calibri" w:hAnsi="Calibri" w:cs="Calibri"/>
          <w:szCs w:val="20"/>
        </w:rPr>
        <w:t xml:space="preserve"> and </w:t>
      </w:r>
      <w:proofErr w:type="spellStart"/>
      <w:r w:rsidRPr="002C26EB">
        <w:rPr>
          <w:rFonts w:ascii="Calibri" w:eastAsia="Calibri" w:hAnsi="Calibri" w:cs="Calibri"/>
          <w:szCs w:val="20"/>
        </w:rPr>
        <w:t>Vomiting</w:t>
      </w:r>
      <w:proofErr w:type="spellEnd"/>
      <w:r w:rsidRPr="002C26EB">
        <w:rPr>
          <w:rFonts w:ascii="Calibri" w:eastAsia="Calibri" w:hAnsi="Calibri" w:cs="Calibri"/>
          <w:szCs w:val="20"/>
        </w:rPr>
        <w:t xml:space="preserve">" (PONV) som oftare används, har beskrivits som ”det stora lilla problemet”. PONV är den vanligaste orsaken till att dagkirurgiska patienter måste läggas in över natten. PONV är komplext med många bidragande faktorer vilket gör att det inte är enkelt att förebygga och behandla.  Dagens behandlingsstrategi baserar sig på ett multimodalt upplägg. </w:t>
      </w:r>
    </w:p>
    <w:p w14:paraId="48E83741" w14:textId="77777777" w:rsidR="002C26EB" w:rsidRPr="007521D4" w:rsidRDefault="002C26EB" w:rsidP="007521D4">
      <w:pPr>
        <w:pStyle w:val="Rubrik2"/>
        <w:ind w:right="140"/>
      </w:pPr>
      <w:bookmarkStart w:id="3" w:name="_Toc501440350"/>
      <w:r w:rsidRPr="007521D4">
        <w:t xml:space="preserve">Syfte </w:t>
      </w:r>
      <w:bookmarkEnd w:id="3"/>
    </w:p>
    <w:p w14:paraId="0F9CA603" w14:textId="77777777" w:rsidR="002C26EB" w:rsidRPr="002C26EB" w:rsidRDefault="002C26EB" w:rsidP="007521D4">
      <w:pPr>
        <w:spacing w:after="160" w:line="259" w:lineRule="auto"/>
        <w:ind w:right="140"/>
        <w:rPr>
          <w:rFonts w:ascii="Calibri" w:eastAsia="Calibri" w:hAnsi="Calibri" w:cs="Calibri"/>
          <w:szCs w:val="20"/>
        </w:rPr>
      </w:pPr>
      <w:bookmarkStart w:id="4" w:name="_Toc501440351"/>
      <w:r w:rsidRPr="002C26EB">
        <w:rPr>
          <w:rFonts w:ascii="Calibri" w:eastAsia="Calibri" w:hAnsi="Calibri" w:cs="Calibri"/>
          <w:szCs w:val="20"/>
        </w:rPr>
        <w:t>Att ge en enhetlig profylax och behandling till patienter som drabbas av PONV.</w:t>
      </w:r>
    </w:p>
    <w:bookmarkEnd w:id="4"/>
    <w:p w14:paraId="4E5FA7FC" w14:textId="77777777" w:rsidR="00070BE9" w:rsidRPr="00070BE9" w:rsidRDefault="00070BE9" w:rsidP="00070BE9">
      <w:pPr>
        <w:ind w:left="0"/>
      </w:pPr>
    </w:p>
    <w:p w14:paraId="07997C10" w14:textId="1E8D01F6" w:rsidR="002C26EB" w:rsidRPr="007521D4" w:rsidRDefault="002C26EB" w:rsidP="007521D4">
      <w:pPr>
        <w:pStyle w:val="Rubrik2"/>
        <w:ind w:right="140"/>
      </w:pPr>
      <w:r w:rsidRPr="007521D4">
        <w:t>Riskfaktorer för PONV</w:t>
      </w:r>
    </w:p>
    <w:p w14:paraId="2639236B" w14:textId="77777777" w:rsidR="002C26EB" w:rsidRPr="002C26EB" w:rsidRDefault="002C26EB" w:rsidP="007521D4">
      <w:pPr>
        <w:spacing w:after="160" w:line="259" w:lineRule="auto"/>
        <w:ind w:right="140"/>
        <w:rPr>
          <w:rFonts w:eastAsia="Calibri"/>
          <w:b/>
          <w:szCs w:val="20"/>
        </w:rPr>
      </w:pPr>
      <w:bookmarkStart w:id="5" w:name="_Toc501440352"/>
      <w:r w:rsidRPr="002C26EB">
        <w:rPr>
          <w:rFonts w:eastAsia="Calibri"/>
          <w:szCs w:val="20"/>
        </w:rPr>
        <w:t xml:space="preserve">70 % av alla patienter som opereras drabbas </w:t>
      </w:r>
      <w:r w:rsidRPr="002C26EB">
        <w:rPr>
          <w:rFonts w:eastAsia="Calibri"/>
          <w:i/>
          <w:szCs w:val="20"/>
        </w:rPr>
        <w:t>inte</w:t>
      </w:r>
      <w:r w:rsidRPr="002C26EB">
        <w:rPr>
          <w:rFonts w:eastAsia="Calibri"/>
          <w:szCs w:val="20"/>
        </w:rPr>
        <w:t xml:space="preserve"> av PONV och skall förhoppningsvis kunna selekteras ut </w:t>
      </w:r>
      <w:proofErr w:type="spellStart"/>
      <w:r w:rsidRPr="002C26EB">
        <w:rPr>
          <w:rFonts w:eastAsia="Calibri"/>
          <w:szCs w:val="20"/>
        </w:rPr>
        <w:t>preoperativt</w:t>
      </w:r>
      <w:proofErr w:type="spellEnd"/>
      <w:r w:rsidRPr="002C26EB">
        <w:rPr>
          <w:rFonts w:eastAsia="Calibri"/>
          <w:szCs w:val="20"/>
        </w:rPr>
        <w:t xml:space="preserve"> så de inte får profylax i onödan. Patienter som riskerar PONV skall naturligtvis ha profylax – rätt profylax. Idag finns ingen bra metod för riskbedömning av PONV, men </w:t>
      </w:r>
      <w:proofErr w:type="spellStart"/>
      <w:r w:rsidRPr="002C26EB">
        <w:rPr>
          <w:rFonts w:eastAsia="Calibri"/>
          <w:szCs w:val="20"/>
        </w:rPr>
        <w:t>Apfels</w:t>
      </w:r>
      <w:proofErr w:type="spellEnd"/>
      <w:r w:rsidRPr="002C26EB">
        <w:rPr>
          <w:rFonts w:eastAsia="Calibri"/>
          <w:szCs w:val="20"/>
        </w:rPr>
        <w:t xml:space="preserve"> (1) är den mest använda.</w:t>
      </w:r>
    </w:p>
    <w:p w14:paraId="308A6EF0" w14:textId="77777777" w:rsidR="00070BE9" w:rsidRDefault="00070BE9">
      <w:pPr>
        <w:spacing w:after="0" w:line="240" w:lineRule="auto"/>
        <w:ind w:left="0" w:right="0"/>
        <w:rPr>
          <w:rFonts w:asciiTheme="majorHAnsi" w:eastAsiaTheme="majorEastAsia" w:hAnsiTheme="majorHAnsi" w:cstheme="majorBidi"/>
          <w:bCs/>
          <w:color w:val="000000" w:themeColor="text1"/>
          <w:sz w:val="40"/>
          <w:szCs w:val="26"/>
        </w:rPr>
      </w:pPr>
      <w:r>
        <w:br w:type="page"/>
      </w:r>
    </w:p>
    <w:p w14:paraId="79107CC9" w14:textId="4E29B17A" w:rsidR="002C26EB" w:rsidRPr="007521D4" w:rsidRDefault="002C26EB" w:rsidP="007521D4">
      <w:pPr>
        <w:pStyle w:val="Rubrik2"/>
        <w:ind w:right="140"/>
      </w:pPr>
      <w:r w:rsidRPr="007521D4">
        <w:lastRenderedPageBreak/>
        <w:t xml:space="preserve">Riskfaktorer för PONV efter </w:t>
      </w:r>
      <w:proofErr w:type="spellStart"/>
      <w:r w:rsidRPr="007521D4">
        <w:t>Apfel</w:t>
      </w:r>
      <w:proofErr w:type="spellEnd"/>
      <w:r w:rsidRPr="007521D4">
        <w:t xml:space="preserve"> et al. (1 poäng/riskfaktor).</w:t>
      </w:r>
    </w:p>
    <w:p w14:paraId="08901EB6" w14:textId="77777777" w:rsidR="002C26EB" w:rsidRPr="002C26EB" w:rsidRDefault="002C26EB" w:rsidP="00C346DB">
      <w:pPr>
        <w:numPr>
          <w:ilvl w:val="0"/>
          <w:numId w:val="21"/>
        </w:numPr>
        <w:spacing w:after="160" w:line="259" w:lineRule="auto"/>
        <w:ind w:left="1418" w:right="140"/>
        <w:contextualSpacing/>
        <w:rPr>
          <w:rFonts w:eastAsia="Calibri"/>
          <w:szCs w:val="20"/>
        </w:rPr>
      </w:pPr>
      <w:r w:rsidRPr="002C26EB">
        <w:rPr>
          <w:rFonts w:eastAsia="Calibri"/>
          <w:szCs w:val="20"/>
        </w:rPr>
        <w:t>Kvinna</w:t>
      </w:r>
    </w:p>
    <w:p w14:paraId="1BF6F0FB" w14:textId="77777777" w:rsidR="002C26EB" w:rsidRPr="002C26EB" w:rsidRDefault="002C26EB" w:rsidP="00C346DB">
      <w:pPr>
        <w:numPr>
          <w:ilvl w:val="0"/>
          <w:numId w:val="21"/>
        </w:numPr>
        <w:spacing w:after="160" w:line="259" w:lineRule="auto"/>
        <w:ind w:left="1418" w:right="140"/>
        <w:contextualSpacing/>
        <w:rPr>
          <w:rFonts w:eastAsia="Calibri"/>
          <w:szCs w:val="20"/>
        </w:rPr>
      </w:pPr>
      <w:r w:rsidRPr="002C26EB">
        <w:rPr>
          <w:rFonts w:eastAsia="Calibri"/>
          <w:szCs w:val="20"/>
        </w:rPr>
        <w:t>Icke-rökare</w:t>
      </w:r>
    </w:p>
    <w:p w14:paraId="6B877DE2" w14:textId="77777777" w:rsidR="002C26EB" w:rsidRPr="002C26EB" w:rsidRDefault="002C26EB" w:rsidP="00C346DB">
      <w:pPr>
        <w:numPr>
          <w:ilvl w:val="0"/>
          <w:numId w:val="21"/>
        </w:numPr>
        <w:spacing w:after="160" w:line="259" w:lineRule="auto"/>
        <w:ind w:left="1418" w:right="140"/>
        <w:contextualSpacing/>
        <w:rPr>
          <w:rFonts w:eastAsia="Calibri"/>
          <w:szCs w:val="20"/>
        </w:rPr>
      </w:pPr>
      <w:r w:rsidRPr="002C26EB">
        <w:rPr>
          <w:rFonts w:eastAsia="Calibri"/>
          <w:szCs w:val="20"/>
        </w:rPr>
        <w:t>Tidigare PONV och/eller rörelsesjuka</w:t>
      </w:r>
    </w:p>
    <w:p w14:paraId="47F549DA" w14:textId="77777777" w:rsidR="002C26EB" w:rsidRPr="002C26EB" w:rsidRDefault="002C26EB" w:rsidP="00C346DB">
      <w:pPr>
        <w:numPr>
          <w:ilvl w:val="0"/>
          <w:numId w:val="21"/>
        </w:numPr>
        <w:spacing w:after="160" w:line="259" w:lineRule="auto"/>
        <w:ind w:left="1418" w:right="140"/>
        <w:contextualSpacing/>
        <w:rPr>
          <w:rFonts w:eastAsia="Calibri"/>
          <w:szCs w:val="20"/>
        </w:rPr>
      </w:pPr>
      <w:r w:rsidRPr="002C26EB">
        <w:rPr>
          <w:rFonts w:eastAsia="Calibri"/>
          <w:szCs w:val="20"/>
        </w:rPr>
        <w:t>Behov av opioider post op.</w:t>
      </w:r>
    </w:p>
    <w:p w14:paraId="281F08B0" w14:textId="77777777" w:rsidR="002C26EB" w:rsidRPr="002C26EB" w:rsidRDefault="002C26EB" w:rsidP="007521D4">
      <w:pPr>
        <w:spacing w:after="160" w:line="259" w:lineRule="auto"/>
        <w:ind w:right="140"/>
        <w:contextualSpacing/>
        <w:rPr>
          <w:rFonts w:eastAsia="Calibri"/>
          <w:szCs w:val="20"/>
        </w:rPr>
      </w:pPr>
    </w:p>
    <w:p w14:paraId="60A84173" w14:textId="77777777" w:rsidR="00C346DB" w:rsidRDefault="00C346DB" w:rsidP="007521D4">
      <w:pPr>
        <w:tabs>
          <w:tab w:val="left" w:pos="851"/>
          <w:tab w:val="left" w:pos="2694"/>
        </w:tabs>
        <w:spacing w:after="160" w:line="259" w:lineRule="auto"/>
        <w:ind w:right="140"/>
        <w:rPr>
          <w:rFonts w:ascii="Calibri" w:eastAsia="Calibri" w:hAnsi="Calibri" w:cs="Calibri"/>
          <w:szCs w:val="20"/>
        </w:rPr>
      </w:pPr>
    </w:p>
    <w:tbl>
      <w:tblPr>
        <w:tblStyle w:val="Tabellrutnt"/>
        <w:tblW w:w="7934" w:type="dxa"/>
        <w:tblInd w:w="9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
        <w:gridCol w:w="2551"/>
        <w:gridCol w:w="4395"/>
      </w:tblGrid>
      <w:tr w:rsidR="00D769E4" w14:paraId="03D814F3" w14:textId="77777777" w:rsidTr="00CC025B">
        <w:tc>
          <w:tcPr>
            <w:tcW w:w="988" w:type="dxa"/>
          </w:tcPr>
          <w:p w14:paraId="786E9DC9" w14:textId="0EEA94E3" w:rsidR="00D769E4" w:rsidRDefault="00D769E4" w:rsidP="00D769E4">
            <w:pPr>
              <w:spacing w:after="160" w:line="259" w:lineRule="auto"/>
              <w:ind w:left="0" w:right="140"/>
              <w:rPr>
                <w:rFonts w:ascii="Calibri" w:eastAsia="Calibri" w:hAnsi="Calibri" w:cs="Calibri"/>
                <w:szCs w:val="20"/>
              </w:rPr>
            </w:pPr>
            <w:r w:rsidRPr="002C26EB">
              <w:rPr>
                <w:rFonts w:ascii="Calibri" w:eastAsia="Calibri" w:hAnsi="Calibri" w:cs="Calibri"/>
                <w:szCs w:val="20"/>
              </w:rPr>
              <w:t>1p</w:t>
            </w:r>
          </w:p>
        </w:tc>
        <w:tc>
          <w:tcPr>
            <w:tcW w:w="2551" w:type="dxa"/>
          </w:tcPr>
          <w:p w14:paraId="46A814D1" w14:textId="4180B31F" w:rsidR="00D769E4" w:rsidRDefault="00D769E4" w:rsidP="00D769E4">
            <w:pPr>
              <w:spacing w:after="160" w:line="259" w:lineRule="auto"/>
              <w:ind w:left="0" w:right="140"/>
              <w:rPr>
                <w:rFonts w:ascii="Calibri" w:eastAsia="Calibri" w:hAnsi="Calibri" w:cs="Calibri"/>
                <w:szCs w:val="20"/>
              </w:rPr>
            </w:pPr>
            <w:r w:rsidRPr="002C26EB">
              <w:rPr>
                <w:rFonts w:ascii="Calibri" w:eastAsia="Calibri" w:hAnsi="Calibri" w:cs="Calibri"/>
                <w:szCs w:val="20"/>
              </w:rPr>
              <w:t>Låg risk</w:t>
            </w:r>
            <w:r>
              <w:rPr>
                <w:rFonts w:ascii="Calibri" w:eastAsia="Calibri" w:hAnsi="Calibri" w:cs="Calibri"/>
                <w:szCs w:val="20"/>
              </w:rPr>
              <w:t xml:space="preserve"> </w:t>
            </w:r>
            <w:proofErr w:type="gramStart"/>
            <w:r w:rsidRPr="002C26EB">
              <w:rPr>
                <w:rFonts w:ascii="Calibri" w:eastAsia="Calibri" w:hAnsi="Calibri" w:cs="Calibri"/>
                <w:szCs w:val="20"/>
              </w:rPr>
              <w:t>(&lt; 20</w:t>
            </w:r>
            <w:proofErr w:type="gramEnd"/>
            <w:r w:rsidRPr="002C26EB">
              <w:rPr>
                <w:rFonts w:ascii="Calibri" w:eastAsia="Calibri" w:hAnsi="Calibri" w:cs="Calibri"/>
                <w:szCs w:val="20"/>
              </w:rPr>
              <w:t xml:space="preserve">%)   </w:t>
            </w:r>
          </w:p>
        </w:tc>
        <w:tc>
          <w:tcPr>
            <w:tcW w:w="4395" w:type="dxa"/>
          </w:tcPr>
          <w:p w14:paraId="393365E0" w14:textId="40CC4CE5" w:rsidR="00D769E4" w:rsidRDefault="00D769E4" w:rsidP="00D769E4">
            <w:pPr>
              <w:tabs>
                <w:tab w:val="left" w:pos="2694"/>
              </w:tabs>
              <w:spacing w:after="160" w:line="259" w:lineRule="auto"/>
              <w:ind w:left="0" w:right="-252"/>
              <w:rPr>
                <w:rFonts w:ascii="Calibri" w:eastAsia="Calibri" w:hAnsi="Calibri" w:cs="Calibri"/>
                <w:szCs w:val="20"/>
              </w:rPr>
            </w:pPr>
            <w:r w:rsidRPr="002C26EB">
              <w:rPr>
                <w:rFonts w:ascii="Calibri" w:eastAsia="Calibri" w:hAnsi="Calibri" w:cs="Calibri"/>
                <w:szCs w:val="20"/>
              </w:rPr>
              <w:t>Ge ingen PONV-profylax!</w:t>
            </w:r>
          </w:p>
        </w:tc>
      </w:tr>
      <w:tr w:rsidR="00D769E4" w14:paraId="7E8BDDCE" w14:textId="77777777" w:rsidTr="00CC025B">
        <w:tc>
          <w:tcPr>
            <w:tcW w:w="988" w:type="dxa"/>
          </w:tcPr>
          <w:p w14:paraId="13A86833" w14:textId="3EC846F4" w:rsidR="00D769E4" w:rsidRDefault="00D769E4" w:rsidP="00D769E4">
            <w:pPr>
              <w:spacing w:after="160" w:line="259" w:lineRule="auto"/>
              <w:ind w:left="0" w:right="140"/>
              <w:rPr>
                <w:rFonts w:ascii="Calibri" w:eastAsia="Calibri" w:hAnsi="Calibri" w:cs="Calibri"/>
                <w:szCs w:val="20"/>
              </w:rPr>
            </w:pPr>
            <w:r w:rsidRPr="002C26EB">
              <w:rPr>
                <w:rFonts w:ascii="Calibri" w:eastAsia="Calibri" w:hAnsi="Calibri" w:cs="Calibri"/>
                <w:szCs w:val="20"/>
              </w:rPr>
              <w:t>2p</w:t>
            </w:r>
          </w:p>
        </w:tc>
        <w:tc>
          <w:tcPr>
            <w:tcW w:w="2551" w:type="dxa"/>
          </w:tcPr>
          <w:p w14:paraId="3EB22FAA" w14:textId="14B36D93" w:rsidR="00D769E4" w:rsidRDefault="00D769E4" w:rsidP="00D769E4">
            <w:pPr>
              <w:spacing w:after="160" w:line="259" w:lineRule="auto"/>
              <w:ind w:left="0" w:right="140"/>
              <w:rPr>
                <w:rFonts w:ascii="Calibri" w:eastAsia="Calibri" w:hAnsi="Calibri" w:cs="Calibri"/>
                <w:szCs w:val="20"/>
              </w:rPr>
            </w:pPr>
            <w:r w:rsidRPr="002C26EB">
              <w:rPr>
                <w:rFonts w:ascii="Calibri" w:eastAsia="Calibri" w:hAnsi="Calibri" w:cs="Calibri"/>
                <w:szCs w:val="20"/>
              </w:rPr>
              <w:t>Måttlig ris</w:t>
            </w:r>
            <w:r>
              <w:rPr>
                <w:rFonts w:ascii="Calibri" w:eastAsia="Calibri" w:hAnsi="Calibri" w:cs="Calibri"/>
                <w:szCs w:val="20"/>
              </w:rPr>
              <w:t xml:space="preserve">k </w:t>
            </w:r>
            <w:r w:rsidRPr="002C26EB">
              <w:rPr>
                <w:rFonts w:ascii="Calibri" w:eastAsia="Calibri" w:hAnsi="Calibri" w:cs="Calibri"/>
                <w:szCs w:val="20"/>
              </w:rPr>
              <w:t>(40%)</w:t>
            </w:r>
          </w:p>
        </w:tc>
        <w:tc>
          <w:tcPr>
            <w:tcW w:w="4395" w:type="dxa"/>
          </w:tcPr>
          <w:p w14:paraId="54DB5D01" w14:textId="05F050C3" w:rsidR="00D769E4" w:rsidRDefault="00D769E4" w:rsidP="00D769E4">
            <w:pPr>
              <w:tabs>
                <w:tab w:val="left" w:pos="2694"/>
              </w:tabs>
              <w:spacing w:after="160" w:line="259" w:lineRule="auto"/>
              <w:ind w:left="0" w:right="140"/>
              <w:rPr>
                <w:rFonts w:ascii="Calibri" w:eastAsia="Calibri" w:hAnsi="Calibri" w:cs="Calibri"/>
                <w:szCs w:val="20"/>
              </w:rPr>
            </w:pPr>
            <w:r w:rsidRPr="002C26EB">
              <w:rPr>
                <w:rFonts w:ascii="Calibri" w:eastAsia="Calibri" w:hAnsi="Calibri" w:cs="Calibri"/>
                <w:szCs w:val="20"/>
              </w:rPr>
              <w:t xml:space="preserve">Ge ett preparat: </w:t>
            </w:r>
            <w:proofErr w:type="spellStart"/>
            <w:r w:rsidRPr="002C26EB">
              <w:rPr>
                <w:rFonts w:ascii="Calibri" w:eastAsia="Calibri" w:hAnsi="Calibri" w:cs="Calibri"/>
                <w:szCs w:val="20"/>
              </w:rPr>
              <w:t>Droperidol</w:t>
            </w:r>
            <w:proofErr w:type="spellEnd"/>
            <w:r w:rsidRPr="002C26EB">
              <w:rPr>
                <w:rFonts w:ascii="Calibri" w:eastAsia="Calibri" w:hAnsi="Calibri" w:cs="Calibri"/>
                <w:szCs w:val="20"/>
              </w:rPr>
              <w:t xml:space="preserve"> eller </w:t>
            </w:r>
            <w:r>
              <w:rPr>
                <w:rFonts w:ascii="Calibri" w:eastAsia="Calibri" w:hAnsi="Calibri" w:cs="Calibri"/>
                <w:szCs w:val="20"/>
              </w:rPr>
              <w:t xml:space="preserve"> </w:t>
            </w:r>
            <w:proofErr w:type="spellStart"/>
            <w:r w:rsidRPr="002C26EB">
              <w:rPr>
                <w:rFonts w:ascii="Calibri" w:eastAsia="Calibri" w:hAnsi="Calibri" w:cs="Calibri"/>
                <w:szCs w:val="20"/>
              </w:rPr>
              <w:t>Ondasetron</w:t>
            </w:r>
            <w:proofErr w:type="spellEnd"/>
          </w:p>
        </w:tc>
      </w:tr>
      <w:tr w:rsidR="00D769E4" w14:paraId="5BF54284" w14:textId="77777777" w:rsidTr="00CC025B">
        <w:tc>
          <w:tcPr>
            <w:tcW w:w="988" w:type="dxa"/>
          </w:tcPr>
          <w:p w14:paraId="56C91DFF" w14:textId="2374A3CE" w:rsidR="00D769E4" w:rsidRDefault="00D769E4" w:rsidP="00D769E4">
            <w:pPr>
              <w:spacing w:after="160" w:line="259" w:lineRule="auto"/>
              <w:ind w:left="0" w:right="140"/>
              <w:rPr>
                <w:rFonts w:ascii="Calibri" w:eastAsia="Calibri" w:hAnsi="Calibri" w:cs="Calibri"/>
                <w:szCs w:val="20"/>
              </w:rPr>
            </w:pPr>
            <w:r w:rsidRPr="002C26EB">
              <w:rPr>
                <w:rFonts w:ascii="Calibri" w:eastAsia="Calibri" w:hAnsi="Calibri" w:cs="Calibri"/>
                <w:szCs w:val="20"/>
              </w:rPr>
              <w:t>3p</w:t>
            </w:r>
          </w:p>
        </w:tc>
        <w:tc>
          <w:tcPr>
            <w:tcW w:w="2551" w:type="dxa"/>
          </w:tcPr>
          <w:p w14:paraId="7C90AAB5" w14:textId="307895C2" w:rsidR="00D769E4" w:rsidRDefault="00D769E4" w:rsidP="00D769E4">
            <w:pPr>
              <w:spacing w:after="160" w:line="259" w:lineRule="auto"/>
              <w:ind w:left="0" w:right="140"/>
              <w:rPr>
                <w:rFonts w:ascii="Calibri" w:eastAsia="Calibri" w:hAnsi="Calibri" w:cs="Calibri"/>
                <w:szCs w:val="20"/>
              </w:rPr>
            </w:pPr>
            <w:r w:rsidRPr="002C26EB">
              <w:rPr>
                <w:rFonts w:ascii="Calibri" w:eastAsia="Calibri" w:hAnsi="Calibri" w:cs="Calibri"/>
                <w:szCs w:val="20"/>
              </w:rPr>
              <w:t>Hög risk</w:t>
            </w:r>
            <w:r w:rsidR="00D13DE4">
              <w:rPr>
                <w:rFonts w:ascii="Calibri" w:eastAsia="Calibri" w:hAnsi="Calibri" w:cs="Calibri"/>
                <w:szCs w:val="20"/>
              </w:rPr>
              <w:t xml:space="preserve"> </w:t>
            </w:r>
            <w:r w:rsidRPr="002C26EB">
              <w:rPr>
                <w:rFonts w:ascii="Calibri" w:eastAsia="Calibri" w:hAnsi="Calibri" w:cs="Calibri"/>
                <w:szCs w:val="20"/>
              </w:rPr>
              <w:t>(60</w:t>
            </w:r>
            <w:proofErr w:type="gramStart"/>
            <w:r w:rsidRPr="002C26EB">
              <w:rPr>
                <w:rFonts w:ascii="Calibri" w:eastAsia="Calibri" w:hAnsi="Calibri" w:cs="Calibri"/>
                <w:szCs w:val="20"/>
              </w:rPr>
              <w:t xml:space="preserve">%)   </w:t>
            </w:r>
            <w:proofErr w:type="gramEnd"/>
            <w:r w:rsidRPr="002C26EB">
              <w:rPr>
                <w:rFonts w:ascii="Calibri" w:eastAsia="Calibri" w:hAnsi="Calibri" w:cs="Calibri"/>
                <w:szCs w:val="20"/>
              </w:rPr>
              <w:t xml:space="preserve">   </w:t>
            </w:r>
          </w:p>
        </w:tc>
        <w:tc>
          <w:tcPr>
            <w:tcW w:w="4395" w:type="dxa"/>
          </w:tcPr>
          <w:p w14:paraId="54F1D13F" w14:textId="10AB94F0" w:rsidR="00D769E4" w:rsidRDefault="00D769E4" w:rsidP="007521D4">
            <w:pPr>
              <w:tabs>
                <w:tab w:val="left" w:pos="851"/>
                <w:tab w:val="left" w:pos="2694"/>
              </w:tabs>
              <w:spacing w:after="160" w:line="259" w:lineRule="auto"/>
              <w:ind w:left="0" w:right="140"/>
              <w:rPr>
                <w:rFonts w:ascii="Calibri" w:eastAsia="Calibri" w:hAnsi="Calibri" w:cs="Calibri"/>
                <w:szCs w:val="20"/>
              </w:rPr>
            </w:pPr>
            <w:r w:rsidRPr="002C26EB">
              <w:rPr>
                <w:rFonts w:ascii="Calibri" w:eastAsia="Calibri" w:hAnsi="Calibri" w:cs="Calibri"/>
                <w:szCs w:val="20"/>
              </w:rPr>
              <w:t xml:space="preserve">Kombinera: </w:t>
            </w:r>
            <w:proofErr w:type="spellStart"/>
            <w:r w:rsidRPr="002C26EB">
              <w:rPr>
                <w:rFonts w:ascii="Calibri" w:eastAsia="Calibri" w:hAnsi="Calibri" w:cs="Calibri"/>
                <w:szCs w:val="20"/>
              </w:rPr>
              <w:t>Droperidol</w:t>
            </w:r>
            <w:proofErr w:type="spellEnd"/>
            <w:r w:rsidRPr="002C26EB">
              <w:rPr>
                <w:rFonts w:ascii="Calibri" w:eastAsia="Calibri" w:hAnsi="Calibri" w:cs="Calibri"/>
                <w:szCs w:val="20"/>
              </w:rPr>
              <w:t xml:space="preserve"> eller </w:t>
            </w:r>
            <w:proofErr w:type="spellStart"/>
            <w:r w:rsidRPr="002C26EB">
              <w:rPr>
                <w:rFonts w:ascii="Calibri" w:eastAsia="Calibri" w:hAnsi="Calibri" w:cs="Calibri"/>
                <w:szCs w:val="20"/>
              </w:rPr>
              <w:t>Ondasetron</w:t>
            </w:r>
            <w:proofErr w:type="spellEnd"/>
            <w:r w:rsidRPr="002C26EB">
              <w:rPr>
                <w:rFonts w:ascii="Calibri" w:eastAsia="Calibri" w:hAnsi="Calibri" w:cs="Calibri"/>
                <w:szCs w:val="20"/>
              </w:rPr>
              <w:t xml:space="preserve"> </w:t>
            </w:r>
            <w:r>
              <w:rPr>
                <w:rFonts w:ascii="Calibri" w:eastAsia="Calibri" w:hAnsi="Calibri" w:cs="Calibri"/>
                <w:szCs w:val="20"/>
              </w:rPr>
              <w:t xml:space="preserve">                   </w:t>
            </w:r>
            <w:r w:rsidRPr="002C26EB">
              <w:rPr>
                <w:rFonts w:ascii="Calibri" w:eastAsia="Calibri" w:hAnsi="Calibri" w:cs="Calibri"/>
                <w:szCs w:val="20"/>
              </w:rPr>
              <w:t>med Betametason</w:t>
            </w:r>
          </w:p>
        </w:tc>
      </w:tr>
      <w:tr w:rsidR="00D769E4" w14:paraId="5BAEA88E" w14:textId="77777777" w:rsidTr="00CC025B">
        <w:tc>
          <w:tcPr>
            <w:tcW w:w="988" w:type="dxa"/>
          </w:tcPr>
          <w:p w14:paraId="6B05999E" w14:textId="56949AD6" w:rsidR="00D769E4" w:rsidRDefault="00D769E4" w:rsidP="00D769E4">
            <w:pPr>
              <w:spacing w:after="160" w:line="259" w:lineRule="auto"/>
              <w:ind w:left="0" w:right="140"/>
              <w:rPr>
                <w:rFonts w:ascii="Calibri" w:eastAsia="Calibri" w:hAnsi="Calibri" w:cs="Calibri"/>
                <w:szCs w:val="20"/>
              </w:rPr>
            </w:pPr>
            <w:r w:rsidRPr="002C26EB">
              <w:rPr>
                <w:rFonts w:ascii="Calibri" w:eastAsia="Calibri" w:hAnsi="Calibri" w:cs="Calibri"/>
                <w:szCs w:val="20"/>
              </w:rPr>
              <w:t>4p</w:t>
            </w:r>
          </w:p>
        </w:tc>
        <w:tc>
          <w:tcPr>
            <w:tcW w:w="2551" w:type="dxa"/>
          </w:tcPr>
          <w:p w14:paraId="50E3302B" w14:textId="28F8988D" w:rsidR="00D769E4" w:rsidRDefault="00D769E4" w:rsidP="00D769E4">
            <w:pPr>
              <w:spacing w:after="160" w:line="259" w:lineRule="auto"/>
              <w:ind w:left="0" w:right="140"/>
              <w:rPr>
                <w:rFonts w:ascii="Calibri" w:eastAsia="Calibri" w:hAnsi="Calibri" w:cs="Calibri"/>
                <w:szCs w:val="20"/>
              </w:rPr>
            </w:pPr>
            <w:r w:rsidRPr="002C26EB">
              <w:rPr>
                <w:rFonts w:ascii="Calibri" w:eastAsia="Calibri" w:hAnsi="Calibri" w:cs="Calibri"/>
                <w:szCs w:val="20"/>
              </w:rPr>
              <w:t>Mycket hög risk</w:t>
            </w:r>
            <w:r>
              <w:rPr>
                <w:rFonts w:ascii="Calibri" w:eastAsia="Calibri" w:hAnsi="Calibri" w:cs="Calibri"/>
                <w:szCs w:val="20"/>
              </w:rPr>
              <w:t xml:space="preserve"> </w:t>
            </w:r>
            <w:r w:rsidRPr="002C26EB">
              <w:rPr>
                <w:rFonts w:ascii="Calibri" w:eastAsia="Calibri" w:hAnsi="Calibri" w:cs="Calibri"/>
                <w:szCs w:val="20"/>
              </w:rPr>
              <w:t>(80</w:t>
            </w:r>
            <w:proofErr w:type="gramStart"/>
            <w:r w:rsidRPr="002C26EB">
              <w:rPr>
                <w:rFonts w:ascii="Calibri" w:eastAsia="Calibri" w:hAnsi="Calibri" w:cs="Calibri"/>
                <w:szCs w:val="20"/>
              </w:rPr>
              <w:t xml:space="preserve">%)   </w:t>
            </w:r>
            <w:proofErr w:type="gramEnd"/>
            <w:r w:rsidRPr="002C26EB">
              <w:rPr>
                <w:rFonts w:ascii="Calibri" w:eastAsia="Calibri" w:hAnsi="Calibri" w:cs="Calibri"/>
                <w:szCs w:val="20"/>
              </w:rPr>
              <w:t xml:space="preserve">   </w:t>
            </w:r>
          </w:p>
        </w:tc>
        <w:tc>
          <w:tcPr>
            <w:tcW w:w="4395" w:type="dxa"/>
          </w:tcPr>
          <w:p w14:paraId="36BBBF82" w14:textId="0DC5EC65" w:rsidR="00D769E4" w:rsidRDefault="00D769E4" w:rsidP="007521D4">
            <w:pPr>
              <w:tabs>
                <w:tab w:val="left" w:pos="851"/>
                <w:tab w:val="left" w:pos="2694"/>
              </w:tabs>
              <w:spacing w:after="160" w:line="259" w:lineRule="auto"/>
              <w:ind w:left="0" w:right="140"/>
              <w:rPr>
                <w:rFonts w:ascii="Calibri" w:eastAsia="Calibri" w:hAnsi="Calibri" w:cs="Calibri"/>
                <w:szCs w:val="20"/>
              </w:rPr>
            </w:pPr>
            <w:r w:rsidRPr="002C26EB">
              <w:rPr>
                <w:rFonts w:ascii="Calibri" w:eastAsia="Calibri" w:hAnsi="Calibri" w:cs="Calibri"/>
                <w:szCs w:val="20"/>
              </w:rPr>
              <w:t xml:space="preserve">Kombinera: </w:t>
            </w:r>
            <w:proofErr w:type="spellStart"/>
            <w:r w:rsidRPr="002C26EB">
              <w:rPr>
                <w:rFonts w:ascii="Calibri" w:eastAsia="Calibri" w:hAnsi="Calibri" w:cs="Calibri"/>
                <w:szCs w:val="20"/>
              </w:rPr>
              <w:t>Droperidol</w:t>
            </w:r>
            <w:proofErr w:type="spellEnd"/>
            <w:r w:rsidRPr="002C26EB">
              <w:rPr>
                <w:rFonts w:ascii="Calibri" w:eastAsia="Calibri" w:hAnsi="Calibri" w:cs="Calibri"/>
                <w:szCs w:val="20"/>
              </w:rPr>
              <w:t>, Ondansetron och Betametason</w:t>
            </w:r>
          </w:p>
        </w:tc>
      </w:tr>
    </w:tbl>
    <w:p w14:paraId="2CC90D98" w14:textId="77777777" w:rsidR="00D769E4" w:rsidRDefault="00D769E4" w:rsidP="007521D4">
      <w:pPr>
        <w:tabs>
          <w:tab w:val="left" w:pos="851"/>
          <w:tab w:val="left" w:pos="2694"/>
        </w:tabs>
        <w:spacing w:after="160" w:line="259" w:lineRule="auto"/>
        <w:ind w:right="140"/>
        <w:rPr>
          <w:rFonts w:ascii="Calibri" w:eastAsia="Calibri" w:hAnsi="Calibri" w:cs="Calibri"/>
          <w:szCs w:val="20"/>
        </w:rPr>
      </w:pPr>
    </w:p>
    <w:p w14:paraId="51642705" w14:textId="70FFF2BB" w:rsidR="002C26EB" w:rsidRPr="002C26EB" w:rsidRDefault="002C26EB" w:rsidP="00D13DE4">
      <w:pPr>
        <w:tabs>
          <w:tab w:val="left" w:pos="851"/>
          <w:tab w:val="left" w:pos="2694"/>
        </w:tabs>
        <w:spacing w:after="160" w:line="259" w:lineRule="auto"/>
        <w:ind w:right="140"/>
        <w:rPr>
          <w:rFonts w:ascii="Calibri" w:eastAsia="Calibri" w:hAnsi="Calibri" w:cs="Calibri"/>
          <w:szCs w:val="20"/>
          <w:u w:val="single"/>
        </w:rPr>
      </w:pPr>
      <w:r w:rsidRPr="002C26EB">
        <w:rPr>
          <w:rFonts w:ascii="Calibri" w:eastAsia="Calibri" w:hAnsi="Calibri" w:cs="Calibri"/>
          <w:szCs w:val="20"/>
        </w:rPr>
        <w:t xml:space="preserve"> </w:t>
      </w:r>
    </w:p>
    <w:p w14:paraId="0A39D059" w14:textId="77777777" w:rsidR="002C26EB" w:rsidRPr="007521D4" w:rsidRDefault="002C26EB" w:rsidP="007521D4">
      <w:pPr>
        <w:pStyle w:val="Rubrik2"/>
        <w:ind w:right="140"/>
      </w:pPr>
      <w:r w:rsidRPr="007521D4">
        <w:t>Andra riskfaktorer som kan påverka PONV</w:t>
      </w:r>
    </w:p>
    <w:p w14:paraId="66FA9E87" w14:textId="77777777" w:rsidR="002C26EB" w:rsidRPr="002C26EB" w:rsidRDefault="002C26EB" w:rsidP="007521D4">
      <w:pPr>
        <w:spacing w:after="160" w:line="259" w:lineRule="auto"/>
        <w:ind w:right="140"/>
        <w:rPr>
          <w:rFonts w:ascii="Calibri" w:eastAsia="Calibri" w:hAnsi="Calibri" w:cs="Calibri"/>
          <w:szCs w:val="20"/>
        </w:rPr>
      </w:pPr>
      <w:r w:rsidRPr="002C26EB">
        <w:rPr>
          <w:rFonts w:eastAsia="Calibri"/>
          <w:b/>
          <w:szCs w:val="20"/>
        </w:rPr>
        <w:t>Patientens ålder</w:t>
      </w:r>
      <w:r w:rsidRPr="002C26EB">
        <w:rPr>
          <w:rFonts w:eastAsia="Calibri"/>
          <w:szCs w:val="20"/>
        </w:rPr>
        <w:t>:</w:t>
      </w:r>
      <w:r w:rsidRPr="002C26EB">
        <w:rPr>
          <w:rFonts w:ascii="Calibri" w:eastAsia="Calibri" w:hAnsi="Calibri" w:cs="Calibri"/>
          <w:szCs w:val="20"/>
        </w:rPr>
        <w:t xml:space="preserve"> </w:t>
      </w:r>
      <w:proofErr w:type="gramStart"/>
      <w:r w:rsidRPr="002C26EB">
        <w:rPr>
          <w:rFonts w:eastAsia="Calibri"/>
          <w:szCs w:val="20"/>
        </w:rPr>
        <w:t>&lt; 50</w:t>
      </w:r>
      <w:proofErr w:type="gramEnd"/>
      <w:r w:rsidRPr="002C26EB">
        <w:rPr>
          <w:rFonts w:eastAsia="Calibri"/>
          <w:szCs w:val="20"/>
        </w:rPr>
        <w:t xml:space="preserve"> år</w:t>
      </w:r>
    </w:p>
    <w:p w14:paraId="37A083B9" w14:textId="77777777" w:rsidR="002C26EB" w:rsidRPr="002C26EB" w:rsidRDefault="002C26EB" w:rsidP="007521D4">
      <w:pPr>
        <w:spacing w:after="160" w:line="259" w:lineRule="auto"/>
        <w:ind w:right="140"/>
        <w:rPr>
          <w:rFonts w:ascii="Calibri" w:eastAsia="Calibri" w:hAnsi="Calibri" w:cs="Calibri"/>
          <w:szCs w:val="20"/>
        </w:rPr>
      </w:pPr>
      <w:r w:rsidRPr="002C26EB">
        <w:rPr>
          <w:rFonts w:eastAsia="Calibri"/>
          <w:b/>
          <w:szCs w:val="20"/>
        </w:rPr>
        <w:t>Kirurg:</w:t>
      </w:r>
      <w:r w:rsidRPr="002C26EB">
        <w:rPr>
          <w:rFonts w:ascii="Calibri" w:eastAsia="Calibri" w:hAnsi="Calibri" w:cs="Calibri"/>
          <w:szCs w:val="20"/>
        </w:rPr>
        <w:t xml:space="preserve"> </w:t>
      </w:r>
      <w:proofErr w:type="gramStart"/>
      <w:r w:rsidRPr="002C26EB">
        <w:rPr>
          <w:rFonts w:eastAsia="Calibri"/>
          <w:szCs w:val="20"/>
        </w:rPr>
        <w:t>Operationstid &gt;</w:t>
      </w:r>
      <w:proofErr w:type="gramEnd"/>
      <w:r w:rsidRPr="002C26EB">
        <w:rPr>
          <w:rFonts w:eastAsia="Calibri"/>
          <w:szCs w:val="20"/>
        </w:rPr>
        <w:t xml:space="preserve"> 1 timma. ÖNH-operationer. Strabismoperation. Bröstoperationer. Gastroskirurgi. Gyn-operationer.</w:t>
      </w:r>
    </w:p>
    <w:p w14:paraId="23EA3284" w14:textId="77777777" w:rsidR="002C26EB" w:rsidRPr="002C26EB" w:rsidRDefault="002C26EB" w:rsidP="007521D4">
      <w:pPr>
        <w:spacing w:after="160" w:line="259" w:lineRule="auto"/>
        <w:ind w:right="140"/>
        <w:rPr>
          <w:rFonts w:ascii="Calibri" w:eastAsia="Calibri" w:hAnsi="Calibri" w:cs="Calibri"/>
          <w:szCs w:val="20"/>
        </w:rPr>
      </w:pPr>
      <w:r w:rsidRPr="002C26EB">
        <w:rPr>
          <w:rFonts w:eastAsia="Calibri"/>
          <w:b/>
          <w:szCs w:val="20"/>
        </w:rPr>
        <w:t>Anestesi:</w:t>
      </w:r>
      <w:r w:rsidRPr="002C26EB">
        <w:rPr>
          <w:rFonts w:ascii="Calibri" w:eastAsia="Calibri" w:hAnsi="Calibri" w:cs="Calibri"/>
          <w:b/>
          <w:szCs w:val="20"/>
        </w:rPr>
        <w:t xml:space="preserve"> </w:t>
      </w:r>
      <w:r w:rsidRPr="002C26EB">
        <w:rPr>
          <w:rFonts w:eastAsia="Calibri"/>
          <w:szCs w:val="20"/>
        </w:rPr>
        <w:t xml:space="preserve">Generell anestesi mer än regional anestesi (9 ggr skillnad). Lustgas bör undvikas. Gasanestesi ger troligen ökad risk för PONV jämfört med TIVA, men blir inte tydligt förrän efter mer än </w:t>
      </w:r>
      <w:proofErr w:type="gramStart"/>
      <w:r w:rsidRPr="002C26EB">
        <w:rPr>
          <w:rFonts w:eastAsia="Calibri"/>
          <w:szCs w:val="20"/>
        </w:rPr>
        <w:t>2-3</w:t>
      </w:r>
      <w:proofErr w:type="gramEnd"/>
      <w:r w:rsidRPr="002C26EB">
        <w:rPr>
          <w:rFonts w:eastAsia="Calibri"/>
          <w:szCs w:val="20"/>
        </w:rPr>
        <w:t xml:space="preserve"> timmars anestesitid.</w:t>
      </w:r>
      <w:r w:rsidRPr="002C26EB">
        <w:rPr>
          <w:rFonts w:ascii="Calibri" w:eastAsia="Calibri" w:hAnsi="Calibri" w:cs="Calibri"/>
          <w:szCs w:val="20"/>
        </w:rPr>
        <w:t xml:space="preserve"> </w:t>
      </w:r>
    </w:p>
    <w:p w14:paraId="6AA0B16A" w14:textId="77777777" w:rsidR="002C26EB" w:rsidRPr="002C26EB" w:rsidRDefault="002C26EB" w:rsidP="007521D4">
      <w:pPr>
        <w:spacing w:after="160" w:line="259" w:lineRule="auto"/>
        <w:ind w:right="140"/>
        <w:rPr>
          <w:rFonts w:ascii="Calibri" w:eastAsia="Calibri" w:hAnsi="Calibri" w:cs="Calibri"/>
          <w:szCs w:val="20"/>
        </w:rPr>
      </w:pPr>
      <w:r w:rsidRPr="002C26EB">
        <w:rPr>
          <w:rFonts w:eastAsia="Calibri"/>
          <w:b/>
          <w:szCs w:val="20"/>
        </w:rPr>
        <w:t>Postoperativt:</w:t>
      </w:r>
      <w:r w:rsidRPr="002C26EB">
        <w:rPr>
          <w:rFonts w:ascii="Calibri" w:eastAsia="Calibri" w:hAnsi="Calibri" w:cs="Calibri"/>
          <w:szCs w:val="20"/>
        </w:rPr>
        <w:t xml:space="preserve"> </w:t>
      </w:r>
      <w:r w:rsidRPr="002C26EB">
        <w:rPr>
          <w:rFonts w:eastAsia="Calibri"/>
          <w:szCs w:val="20"/>
        </w:rPr>
        <w:t>Smärta, ångest, snabba rörelser eller förflyttningar och opioider (dosberoende - administreringsväg spelar ingen roll). Syrgas har ingen dämpande effekt.</w:t>
      </w:r>
    </w:p>
    <w:p w14:paraId="31C329F1" w14:textId="77777777" w:rsidR="002C26EB" w:rsidRPr="002C26EB" w:rsidRDefault="002C26EB" w:rsidP="007521D4">
      <w:pPr>
        <w:spacing w:after="160" w:line="259" w:lineRule="auto"/>
        <w:ind w:right="140"/>
        <w:rPr>
          <w:rFonts w:eastAsia="Calibri"/>
          <w:b/>
          <w:szCs w:val="20"/>
        </w:rPr>
      </w:pPr>
      <w:r w:rsidRPr="002C26EB">
        <w:rPr>
          <w:rFonts w:eastAsia="Calibri"/>
          <w:b/>
          <w:szCs w:val="20"/>
        </w:rPr>
        <w:t>Generellt om medicinering vid PONV</w:t>
      </w:r>
    </w:p>
    <w:p w14:paraId="272CD4C0" w14:textId="77777777" w:rsidR="002C26EB" w:rsidRPr="002C26EB" w:rsidRDefault="002C26EB" w:rsidP="007521D4">
      <w:pPr>
        <w:spacing w:after="160" w:line="259" w:lineRule="auto"/>
        <w:ind w:right="140"/>
        <w:rPr>
          <w:rFonts w:eastAsia="Calibri"/>
          <w:szCs w:val="20"/>
        </w:rPr>
      </w:pPr>
      <w:r w:rsidRPr="002C26EB">
        <w:rPr>
          <w:rFonts w:eastAsia="Calibri"/>
          <w:szCs w:val="20"/>
        </w:rPr>
        <w:t xml:space="preserve">Om patienten drabbats av PONV trots profylax – byt preparat! </w:t>
      </w:r>
    </w:p>
    <w:p w14:paraId="7DEA8730" w14:textId="77777777" w:rsidR="002C26EB" w:rsidRPr="002C26EB" w:rsidRDefault="002C26EB" w:rsidP="007521D4">
      <w:pPr>
        <w:spacing w:after="160" w:line="259" w:lineRule="auto"/>
        <w:ind w:right="140"/>
        <w:rPr>
          <w:rFonts w:eastAsia="Calibri"/>
          <w:szCs w:val="20"/>
        </w:rPr>
      </w:pPr>
      <w:r w:rsidRPr="002C26EB">
        <w:rPr>
          <w:rFonts w:eastAsia="Calibri"/>
          <w:szCs w:val="20"/>
        </w:rPr>
        <w:t xml:space="preserve">Ge inte kortison i upprepad dos under första dygnet, om </w:t>
      </w:r>
      <w:proofErr w:type="spellStart"/>
      <w:r w:rsidRPr="002C26EB">
        <w:rPr>
          <w:rFonts w:eastAsia="Calibri"/>
          <w:szCs w:val="20"/>
        </w:rPr>
        <w:t>maxdos</w:t>
      </w:r>
      <w:proofErr w:type="spellEnd"/>
      <w:r w:rsidRPr="002C26EB">
        <w:rPr>
          <w:rFonts w:eastAsia="Calibri"/>
          <w:szCs w:val="20"/>
        </w:rPr>
        <w:t xml:space="preserve"> har givits som profylax.</w:t>
      </w:r>
    </w:p>
    <w:p w14:paraId="29513A8B" w14:textId="77777777" w:rsidR="002C26EB" w:rsidRPr="002C26EB" w:rsidRDefault="002C26EB" w:rsidP="007521D4">
      <w:pPr>
        <w:spacing w:after="160" w:line="259" w:lineRule="auto"/>
        <w:ind w:right="140"/>
        <w:rPr>
          <w:rFonts w:eastAsia="Calibri"/>
          <w:szCs w:val="20"/>
        </w:rPr>
      </w:pPr>
      <w:r w:rsidRPr="002C26EB">
        <w:rPr>
          <w:rFonts w:eastAsia="Calibri"/>
          <w:szCs w:val="20"/>
        </w:rPr>
        <w:t xml:space="preserve">Opioid inducerad PONV behandlas i första hand med </w:t>
      </w:r>
      <w:proofErr w:type="spellStart"/>
      <w:r w:rsidRPr="002C26EB">
        <w:rPr>
          <w:rFonts w:eastAsia="Calibri"/>
          <w:szCs w:val="20"/>
        </w:rPr>
        <w:t>droperidol</w:t>
      </w:r>
      <w:proofErr w:type="spellEnd"/>
      <w:r w:rsidRPr="002C26EB">
        <w:rPr>
          <w:rFonts w:eastAsia="Calibri"/>
          <w:szCs w:val="20"/>
        </w:rPr>
        <w:t xml:space="preserve">.  Ondansetron har ingen eller dålig effekt mot opioid illamående och svag effekt mot opioid inducerad kräkning. </w:t>
      </w:r>
    </w:p>
    <w:p w14:paraId="4CDDFC10" w14:textId="77777777" w:rsidR="00D13DE4" w:rsidRDefault="00D13DE4">
      <w:pPr>
        <w:spacing w:after="0" w:line="240" w:lineRule="auto"/>
        <w:ind w:left="0" w:right="0"/>
        <w:rPr>
          <w:rFonts w:eastAsia="Calibri"/>
          <w:b/>
          <w:szCs w:val="20"/>
        </w:rPr>
      </w:pPr>
      <w:r>
        <w:rPr>
          <w:rFonts w:eastAsia="Calibri"/>
          <w:b/>
          <w:szCs w:val="20"/>
        </w:rPr>
        <w:br w:type="page"/>
      </w:r>
    </w:p>
    <w:p w14:paraId="2C3FB4F3" w14:textId="260FF2AF" w:rsidR="002C26EB" w:rsidRPr="002C26EB" w:rsidRDefault="002C26EB" w:rsidP="007521D4">
      <w:pPr>
        <w:spacing w:after="160" w:line="259" w:lineRule="auto"/>
        <w:ind w:right="140"/>
        <w:rPr>
          <w:rFonts w:eastAsia="Calibri"/>
          <w:b/>
          <w:szCs w:val="20"/>
        </w:rPr>
      </w:pPr>
      <w:r w:rsidRPr="002C26EB">
        <w:rPr>
          <w:rFonts w:eastAsia="Calibri"/>
          <w:b/>
          <w:szCs w:val="20"/>
        </w:rPr>
        <w:lastRenderedPageBreak/>
        <w:t xml:space="preserve">Ondansetron </w:t>
      </w:r>
    </w:p>
    <w:p w14:paraId="230D8893" w14:textId="77777777" w:rsidR="002C26EB" w:rsidRPr="002C26EB" w:rsidRDefault="002C26EB" w:rsidP="007521D4">
      <w:pPr>
        <w:spacing w:after="160" w:line="259" w:lineRule="auto"/>
        <w:ind w:right="140"/>
        <w:rPr>
          <w:rFonts w:eastAsia="Calibri"/>
          <w:szCs w:val="20"/>
        </w:rPr>
      </w:pPr>
      <w:r w:rsidRPr="002C26EB">
        <w:rPr>
          <w:rFonts w:eastAsia="Calibri"/>
          <w:szCs w:val="20"/>
        </w:rPr>
        <w:t xml:space="preserve">0,1 mg/kg som profylax. Max 8 mg. Ges i slutet av operationen. </w:t>
      </w:r>
    </w:p>
    <w:p w14:paraId="593D2F04" w14:textId="77777777" w:rsidR="002C26EB" w:rsidRPr="002C26EB" w:rsidRDefault="002C26EB" w:rsidP="007521D4">
      <w:pPr>
        <w:spacing w:after="160" w:line="259" w:lineRule="auto"/>
        <w:ind w:right="140"/>
        <w:rPr>
          <w:rFonts w:eastAsia="Calibri"/>
          <w:szCs w:val="20"/>
        </w:rPr>
      </w:pPr>
      <w:r w:rsidRPr="002C26EB">
        <w:rPr>
          <w:rFonts w:eastAsia="Calibri"/>
          <w:szCs w:val="20"/>
        </w:rPr>
        <w:t xml:space="preserve">4 mg iv kan räcka till patient med låg risk för PONV.  </w:t>
      </w:r>
    </w:p>
    <w:p w14:paraId="1B418E76" w14:textId="77777777" w:rsidR="002C26EB" w:rsidRPr="002C26EB" w:rsidRDefault="002C26EB" w:rsidP="007521D4">
      <w:pPr>
        <w:spacing w:after="160" w:line="259" w:lineRule="auto"/>
        <w:ind w:right="140"/>
        <w:rPr>
          <w:rFonts w:eastAsia="Calibri"/>
          <w:szCs w:val="20"/>
        </w:rPr>
      </w:pPr>
      <w:proofErr w:type="gramStart"/>
      <w:r w:rsidRPr="002C26EB">
        <w:rPr>
          <w:rFonts w:eastAsia="Calibri"/>
          <w:szCs w:val="20"/>
        </w:rPr>
        <w:t>1-2</w:t>
      </w:r>
      <w:proofErr w:type="gramEnd"/>
      <w:r w:rsidRPr="002C26EB">
        <w:rPr>
          <w:rFonts w:eastAsia="Calibri"/>
          <w:szCs w:val="20"/>
        </w:rPr>
        <w:t xml:space="preserve"> mg iv som behandlingsdos är ofta tillräckligt vid etablerad PONV på UVA.</w:t>
      </w:r>
    </w:p>
    <w:p w14:paraId="3D030ED2" w14:textId="77777777" w:rsidR="002C26EB" w:rsidRPr="002C26EB" w:rsidRDefault="002C26EB" w:rsidP="007521D4">
      <w:pPr>
        <w:spacing w:after="160" w:line="259" w:lineRule="auto"/>
        <w:ind w:right="140"/>
        <w:rPr>
          <w:rFonts w:eastAsia="Calibri"/>
          <w:b/>
          <w:szCs w:val="20"/>
        </w:rPr>
      </w:pPr>
      <w:proofErr w:type="spellStart"/>
      <w:r w:rsidRPr="002C26EB">
        <w:rPr>
          <w:rFonts w:eastAsia="Calibri"/>
          <w:b/>
          <w:szCs w:val="20"/>
        </w:rPr>
        <w:t>Droperidol</w:t>
      </w:r>
      <w:proofErr w:type="spellEnd"/>
      <w:r w:rsidRPr="002C26EB">
        <w:rPr>
          <w:rFonts w:eastAsia="Calibri"/>
          <w:b/>
          <w:szCs w:val="20"/>
        </w:rPr>
        <w:t xml:space="preserve"> </w:t>
      </w:r>
    </w:p>
    <w:p w14:paraId="395C72D8" w14:textId="77777777" w:rsidR="002C26EB" w:rsidRPr="002C26EB" w:rsidRDefault="002C26EB" w:rsidP="007521D4">
      <w:pPr>
        <w:spacing w:after="160" w:line="259" w:lineRule="auto"/>
        <w:ind w:right="140"/>
        <w:rPr>
          <w:rFonts w:eastAsia="Calibri"/>
          <w:szCs w:val="20"/>
        </w:rPr>
      </w:pPr>
      <w:r w:rsidRPr="002C26EB">
        <w:rPr>
          <w:rFonts w:eastAsia="Calibri"/>
          <w:szCs w:val="20"/>
        </w:rPr>
        <w:t xml:space="preserve">Dos: </w:t>
      </w:r>
      <w:proofErr w:type="gramStart"/>
      <w:r w:rsidRPr="002C26EB">
        <w:rPr>
          <w:rFonts w:eastAsia="Calibri"/>
          <w:szCs w:val="20"/>
        </w:rPr>
        <w:t>0,625 -1,25</w:t>
      </w:r>
      <w:proofErr w:type="gramEnd"/>
      <w:r w:rsidRPr="002C26EB">
        <w:rPr>
          <w:rFonts w:eastAsia="Calibri"/>
          <w:szCs w:val="20"/>
        </w:rPr>
        <w:t xml:space="preserve"> mg iv</w:t>
      </w:r>
    </w:p>
    <w:p w14:paraId="2AAE992B" w14:textId="77777777" w:rsidR="002C26EB" w:rsidRPr="002C26EB" w:rsidRDefault="002C26EB" w:rsidP="007521D4">
      <w:pPr>
        <w:spacing w:after="160" w:line="259" w:lineRule="auto"/>
        <w:ind w:right="140"/>
        <w:rPr>
          <w:rFonts w:eastAsia="Calibri"/>
          <w:szCs w:val="20"/>
        </w:rPr>
      </w:pPr>
      <w:r w:rsidRPr="002C26EB">
        <w:rPr>
          <w:rFonts w:eastAsia="Calibri"/>
          <w:szCs w:val="20"/>
        </w:rPr>
        <w:t xml:space="preserve">Ges inte till patient med förlängd QT-tid och med försiktighet vid annan känd arytmi. Idag rekommenderas att elektrolyter och EKG tas innan administrering, samt att patienten är EKG övervakad </w:t>
      </w:r>
      <w:proofErr w:type="gramStart"/>
      <w:r w:rsidRPr="002C26EB">
        <w:rPr>
          <w:rFonts w:eastAsia="Calibri"/>
          <w:szCs w:val="20"/>
        </w:rPr>
        <w:t>2-3</w:t>
      </w:r>
      <w:proofErr w:type="gramEnd"/>
      <w:r w:rsidRPr="002C26EB">
        <w:rPr>
          <w:rFonts w:eastAsia="Calibri"/>
          <w:szCs w:val="20"/>
        </w:rPr>
        <w:t xml:space="preserve"> timmar efter given dos.  Risken för arytmi är dock låg om dosen </w:t>
      </w:r>
      <w:proofErr w:type="gramStart"/>
      <w:r w:rsidRPr="002C26EB">
        <w:rPr>
          <w:rFonts w:eastAsia="Calibri"/>
          <w:szCs w:val="20"/>
        </w:rPr>
        <w:t>&lt; 1</w:t>
      </w:r>
      <w:proofErr w:type="gramEnd"/>
      <w:r w:rsidRPr="002C26EB">
        <w:rPr>
          <w:rFonts w:eastAsia="Calibri"/>
          <w:szCs w:val="20"/>
        </w:rPr>
        <w:t>,25 mg.</w:t>
      </w:r>
    </w:p>
    <w:p w14:paraId="0736D227" w14:textId="77777777" w:rsidR="002C26EB" w:rsidRPr="002C26EB" w:rsidRDefault="002C26EB" w:rsidP="007521D4">
      <w:pPr>
        <w:spacing w:after="160" w:line="259" w:lineRule="auto"/>
        <w:ind w:right="140"/>
        <w:rPr>
          <w:rFonts w:eastAsia="Calibri"/>
          <w:b/>
          <w:szCs w:val="20"/>
        </w:rPr>
      </w:pPr>
      <w:r w:rsidRPr="002C26EB">
        <w:rPr>
          <w:rFonts w:eastAsia="Calibri"/>
          <w:b/>
          <w:szCs w:val="20"/>
        </w:rPr>
        <w:t xml:space="preserve">Betametason </w:t>
      </w:r>
    </w:p>
    <w:p w14:paraId="5D28D93D" w14:textId="77777777" w:rsidR="002C26EB" w:rsidRPr="002C26EB" w:rsidRDefault="002C26EB" w:rsidP="007521D4">
      <w:pPr>
        <w:spacing w:after="160" w:line="259" w:lineRule="auto"/>
        <w:ind w:right="140"/>
        <w:rPr>
          <w:rFonts w:eastAsia="Calibri"/>
          <w:szCs w:val="20"/>
        </w:rPr>
      </w:pPr>
      <w:r w:rsidRPr="002C26EB">
        <w:rPr>
          <w:rFonts w:eastAsia="Calibri"/>
          <w:szCs w:val="20"/>
        </w:rPr>
        <w:t xml:space="preserve">0,1 mg/kg, eller max 8 mg iv till vuxen. Ges vid </w:t>
      </w:r>
      <w:proofErr w:type="gramStart"/>
      <w:r w:rsidRPr="002C26EB">
        <w:rPr>
          <w:rFonts w:eastAsia="Calibri"/>
          <w:szCs w:val="20"/>
        </w:rPr>
        <w:t>anestesi induktion</w:t>
      </w:r>
      <w:proofErr w:type="gramEnd"/>
      <w:r w:rsidRPr="002C26EB">
        <w:rPr>
          <w:rFonts w:eastAsia="Calibri"/>
          <w:szCs w:val="20"/>
        </w:rPr>
        <w:t xml:space="preserve">. </w:t>
      </w:r>
    </w:p>
    <w:p w14:paraId="0322E669" w14:textId="77777777" w:rsidR="002C26EB" w:rsidRPr="002C26EB" w:rsidRDefault="002C26EB" w:rsidP="007521D4">
      <w:pPr>
        <w:spacing w:after="160" w:line="259" w:lineRule="auto"/>
        <w:ind w:right="140"/>
        <w:rPr>
          <w:rFonts w:eastAsia="Calibri"/>
          <w:b/>
          <w:szCs w:val="20"/>
        </w:rPr>
      </w:pPr>
    </w:p>
    <w:p w14:paraId="6CEDF72D" w14:textId="77777777" w:rsidR="002C26EB" w:rsidRPr="007521D4" w:rsidRDefault="002C26EB" w:rsidP="007521D4">
      <w:pPr>
        <w:pStyle w:val="Rubrik2"/>
        <w:ind w:right="140"/>
      </w:pPr>
      <w:r w:rsidRPr="007521D4">
        <w:t>Övriga åtgärder som har effekt</w:t>
      </w:r>
    </w:p>
    <w:p w14:paraId="00305990" w14:textId="77777777" w:rsidR="002C26EB" w:rsidRPr="002C26EB" w:rsidRDefault="002C26EB" w:rsidP="007521D4">
      <w:pPr>
        <w:spacing w:after="160" w:line="259" w:lineRule="auto"/>
        <w:ind w:right="140"/>
        <w:rPr>
          <w:rFonts w:eastAsia="Calibri"/>
          <w:szCs w:val="20"/>
        </w:rPr>
      </w:pPr>
      <w:r w:rsidRPr="002C26EB">
        <w:rPr>
          <w:rFonts w:eastAsia="Calibri"/>
          <w:szCs w:val="20"/>
        </w:rPr>
        <w:t xml:space="preserve">Smärtbehandling som reducerar behovet av opioider: tex  </w:t>
      </w:r>
      <w:proofErr w:type="spellStart"/>
      <w:r w:rsidRPr="002C26EB">
        <w:rPr>
          <w:rFonts w:eastAsia="Calibri"/>
          <w:szCs w:val="20"/>
        </w:rPr>
        <w:t>paracetamol</w:t>
      </w:r>
      <w:proofErr w:type="spellEnd"/>
      <w:r w:rsidRPr="002C26EB">
        <w:rPr>
          <w:rFonts w:eastAsia="Calibri"/>
          <w:szCs w:val="20"/>
        </w:rPr>
        <w:t xml:space="preserve">, NSAID, </w:t>
      </w:r>
      <w:proofErr w:type="spellStart"/>
      <w:r w:rsidRPr="002C26EB">
        <w:rPr>
          <w:rFonts w:eastAsia="Calibri"/>
          <w:szCs w:val="20"/>
        </w:rPr>
        <w:t>Catapresan</w:t>
      </w:r>
      <w:proofErr w:type="spellEnd"/>
      <w:r w:rsidRPr="002C26EB">
        <w:rPr>
          <w:rFonts w:eastAsia="Calibri"/>
          <w:szCs w:val="20"/>
        </w:rPr>
        <w:t>. Adekvat hydrering av patienten. Akupressur över punkten P6.</w:t>
      </w:r>
    </w:p>
    <w:p w14:paraId="59E89631" w14:textId="7B1BDF81" w:rsidR="002C26EB" w:rsidRPr="002C26EB" w:rsidRDefault="002C26EB" w:rsidP="007521D4">
      <w:pPr>
        <w:spacing w:after="0" w:line="240" w:lineRule="auto"/>
        <w:ind w:right="140"/>
        <w:rPr>
          <w:rFonts w:eastAsia="Calibri"/>
          <w:b/>
          <w:sz w:val="26"/>
          <w:szCs w:val="20"/>
        </w:rPr>
      </w:pPr>
    </w:p>
    <w:p w14:paraId="4AD6CE70" w14:textId="77777777" w:rsidR="002C26EB" w:rsidRPr="007521D4" w:rsidRDefault="002C26EB" w:rsidP="007521D4">
      <w:pPr>
        <w:pStyle w:val="Rubrik2"/>
        <w:ind w:right="140"/>
      </w:pPr>
      <w:r w:rsidRPr="007521D4">
        <w:t>Referens</w:t>
      </w:r>
    </w:p>
    <w:p w14:paraId="2DBA717C" w14:textId="77777777" w:rsidR="002C26EB" w:rsidRPr="002C26EB" w:rsidRDefault="002C26EB" w:rsidP="00070BE9">
      <w:pPr>
        <w:tabs>
          <w:tab w:val="left" w:pos="2203"/>
        </w:tabs>
        <w:spacing w:after="0" w:line="384" w:lineRule="auto"/>
        <w:ind w:right="140"/>
        <w:rPr>
          <w:rFonts w:ascii="Calibri" w:eastAsia="Calibri" w:hAnsi="Calibri" w:cs="Calibri"/>
          <w:szCs w:val="20"/>
          <w:shd w:val="clear" w:color="auto" w:fill="FFFFFF"/>
        </w:rPr>
      </w:pPr>
      <w:proofErr w:type="spellStart"/>
      <w:r w:rsidRPr="002C26EB">
        <w:rPr>
          <w:rFonts w:eastAsia="Calibri"/>
          <w:szCs w:val="20"/>
        </w:rPr>
        <w:t>Apfel</w:t>
      </w:r>
      <w:proofErr w:type="spellEnd"/>
      <w:r w:rsidRPr="002C26EB">
        <w:rPr>
          <w:rFonts w:eastAsia="Calibri"/>
          <w:szCs w:val="20"/>
        </w:rPr>
        <w:t xml:space="preserve"> CC, </w:t>
      </w:r>
      <w:proofErr w:type="spellStart"/>
      <w:r w:rsidRPr="002C26EB">
        <w:rPr>
          <w:rFonts w:eastAsia="Calibri"/>
          <w:szCs w:val="20"/>
        </w:rPr>
        <w:t>Kranke</w:t>
      </w:r>
      <w:proofErr w:type="spellEnd"/>
      <w:r w:rsidRPr="002C26EB">
        <w:rPr>
          <w:rFonts w:eastAsia="Calibri"/>
          <w:szCs w:val="20"/>
        </w:rPr>
        <w:t xml:space="preserve"> P, </w:t>
      </w:r>
      <w:proofErr w:type="spellStart"/>
      <w:r w:rsidRPr="002C26EB">
        <w:rPr>
          <w:rFonts w:eastAsia="Calibri"/>
          <w:szCs w:val="20"/>
        </w:rPr>
        <w:t>Eberhart</w:t>
      </w:r>
      <w:proofErr w:type="spellEnd"/>
      <w:r w:rsidRPr="002C26EB">
        <w:rPr>
          <w:rFonts w:eastAsia="Calibri"/>
          <w:szCs w:val="20"/>
        </w:rPr>
        <w:t xml:space="preserve"> LH, Roos A, </w:t>
      </w:r>
      <w:proofErr w:type="spellStart"/>
      <w:r w:rsidRPr="002C26EB">
        <w:rPr>
          <w:rFonts w:eastAsia="Calibri"/>
          <w:szCs w:val="20"/>
        </w:rPr>
        <w:t>Roewer</w:t>
      </w:r>
      <w:proofErr w:type="spellEnd"/>
      <w:r w:rsidRPr="002C26EB">
        <w:rPr>
          <w:rFonts w:eastAsia="Calibri"/>
          <w:szCs w:val="20"/>
        </w:rPr>
        <w:t xml:space="preserve"> N: </w:t>
      </w:r>
      <w:proofErr w:type="spellStart"/>
      <w:r w:rsidRPr="002C26EB">
        <w:rPr>
          <w:rFonts w:eastAsia="Calibri"/>
          <w:szCs w:val="20"/>
        </w:rPr>
        <w:t>Comparison</w:t>
      </w:r>
      <w:proofErr w:type="spellEnd"/>
      <w:r w:rsidRPr="002C26EB">
        <w:rPr>
          <w:rFonts w:eastAsia="Calibri"/>
          <w:szCs w:val="20"/>
        </w:rPr>
        <w:t xml:space="preserve"> </w:t>
      </w:r>
      <w:proofErr w:type="spellStart"/>
      <w:r w:rsidRPr="002C26EB">
        <w:rPr>
          <w:rFonts w:eastAsia="Calibri"/>
          <w:szCs w:val="20"/>
        </w:rPr>
        <w:t>of</w:t>
      </w:r>
      <w:proofErr w:type="spellEnd"/>
      <w:r w:rsidRPr="002C26EB">
        <w:rPr>
          <w:rFonts w:eastAsia="Calibri"/>
          <w:szCs w:val="20"/>
        </w:rPr>
        <w:t xml:space="preserve"> </w:t>
      </w:r>
      <w:proofErr w:type="spellStart"/>
      <w:r w:rsidRPr="002C26EB">
        <w:rPr>
          <w:rFonts w:eastAsia="Calibri"/>
          <w:szCs w:val="20"/>
        </w:rPr>
        <w:t>predictive</w:t>
      </w:r>
      <w:proofErr w:type="spellEnd"/>
      <w:r w:rsidRPr="002C26EB">
        <w:rPr>
          <w:rFonts w:ascii="Calibri" w:eastAsia="Calibri" w:hAnsi="Calibri" w:cs="Calibri"/>
          <w:color w:val="3D464D"/>
          <w:szCs w:val="20"/>
          <w:shd w:val="clear" w:color="auto" w:fill="FFFFFF"/>
          <w:lang w:val="en-GB"/>
        </w:rPr>
        <w:t xml:space="preserve"> </w:t>
      </w:r>
      <w:proofErr w:type="spellStart"/>
      <w:r w:rsidRPr="002C26EB">
        <w:rPr>
          <w:rFonts w:eastAsia="Calibri"/>
          <w:szCs w:val="20"/>
        </w:rPr>
        <w:t>models</w:t>
      </w:r>
      <w:proofErr w:type="spellEnd"/>
      <w:r w:rsidRPr="002C26EB">
        <w:rPr>
          <w:rFonts w:eastAsia="Calibri"/>
          <w:szCs w:val="20"/>
        </w:rPr>
        <w:t xml:space="preserve"> for postoperative </w:t>
      </w:r>
      <w:proofErr w:type="spellStart"/>
      <w:r w:rsidRPr="002C26EB">
        <w:rPr>
          <w:rFonts w:eastAsia="Calibri"/>
          <w:szCs w:val="20"/>
        </w:rPr>
        <w:t>nausea</w:t>
      </w:r>
      <w:proofErr w:type="spellEnd"/>
      <w:r w:rsidRPr="002C26EB">
        <w:rPr>
          <w:rFonts w:eastAsia="Calibri"/>
          <w:szCs w:val="20"/>
        </w:rPr>
        <w:t xml:space="preserve"> and </w:t>
      </w:r>
      <w:proofErr w:type="spellStart"/>
      <w:r w:rsidRPr="002C26EB">
        <w:rPr>
          <w:rFonts w:eastAsia="Calibri"/>
          <w:szCs w:val="20"/>
        </w:rPr>
        <w:t>vomiting</w:t>
      </w:r>
      <w:proofErr w:type="spellEnd"/>
      <w:r w:rsidRPr="002C26EB">
        <w:rPr>
          <w:rFonts w:eastAsia="Calibri"/>
          <w:szCs w:val="20"/>
        </w:rPr>
        <w:t xml:space="preserve">. </w:t>
      </w:r>
      <w:proofErr w:type="spellStart"/>
      <w:r w:rsidRPr="002C26EB">
        <w:rPr>
          <w:rFonts w:eastAsia="Calibri"/>
          <w:szCs w:val="20"/>
        </w:rPr>
        <w:t>Br</w:t>
      </w:r>
      <w:proofErr w:type="spellEnd"/>
      <w:r w:rsidRPr="002C26EB">
        <w:rPr>
          <w:rFonts w:eastAsia="Calibri"/>
          <w:szCs w:val="20"/>
        </w:rPr>
        <w:t xml:space="preserve"> J </w:t>
      </w:r>
      <w:proofErr w:type="spellStart"/>
      <w:r w:rsidRPr="002C26EB">
        <w:rPr>
          <w:rFonts w:eastAsia="Calibri"/>
          <w:szCs w:val="20"/>
        </w:rPr>
        <w:t>Anaesth</w:t>
      </w:r>
      <w:proofErr w:type="spellEnd"/>
      <w:r w:rsidRPr="002C26EB">
        <w:rPr>
          <w:rFonts w:eastAsia="Calibri"/>
          <w:szCs w:val="20"/>
        </w:rPr>
        <w:t xml:space="preserve"> </w:t>
      </w:r>
      <w:proofErr w:type="gramStart"/>
      <w:r w:rsidRPr="002C26EB">
        <w:rPr>
          <w:rFonts w:eastAsia="Calibri"/>
          <w:szCs w:val="20"/>
        </w:rPr>
        <w:t>2002;88:234</w:t>
      </w:r>
      <w:proofErr w:type="gramEnd"/>
      <w:r w:rsidRPr="002C26EB">
        <w:rPr>
          <w:rFonts w:eastAsia="Calibri"/>
          <w:szCs w:val="20"/>
        </w:rPr>
        <w:t>-40.</w:t>
      </w:r>
      <w:r w:rsidRPr="002C26EB">
        <w:rPr>
          <w:rFonts w:ascii="Calibri" w:eastAsia="Calibri" w:hAnsi="Calibri" w:cs="Calibri"/>
          <w:color w:val="3D464D"/>
          <w:szCs w:val="20"/>
          <w:shd w:val="clear" w:color="auto" w:fill="FFFFFF"/>
        </w:rPr>
        <w:t xml:space="preserve"> </w:t>
      </w:r>
    </w:p>
    <w:bookmarkEnd w:id="5"/>
    <w:p w14:paraId="64A070DF" w14:textId="77777777" w:rsidR="002C26EB" w:rsidRPr="002C26EB" w:rsidRDefault="002C26EB" w:rsidP="007521D4">
      <w:pPr>
        <w:spacing w:after="0" w:line="240" w:lineRule="auto"/>
        <w:ind w:right="140"/>
        <w:rPr>
          <w:szCs w:val="20"/>
        </w:rPr>
      </w:pPr>
    </w:p>
    <w:p w14:paraId="7A16F825" w14:textId="77777777" w:rsidR="002C26EB" w:rsidRPr="002C26EB" w:rsidRDefault="002C26EB" w:rsidP="007521D4">
      <w:pPr>
        <w:spacing w:after="0" w:line="240" w:lineRule="auto"/>
        <w:ind w:right="140"/>
        <w:rPr>
          <w:szCs w:val="20"/>
        </w:rPr>
      </w:pPr>
    </w:p>
    <w:p w14:paraId="5E3A9B2D" w14:textId="77777777" w:rsidR="002C26EB" w:rsidRPr="002C26EB" w:rsidRDefault="002C26EB" w:rsidP="007521D4">
      <w:pPr>
        <w:spacing w:after="0" w:line="240" w:lineRule="auto"/>
        <w:ind w:right="140"/>
        <w:rPr>
          <w:szCs w:val="20"/>
        </w:rPr>
      </w:pPr>
    </w:p>
    <w:p w14:paraId="095FF161" w14:textId="77777777" w:rsidR="002C26EB" w:rsidRPr="002C26EB" w:rsidRDefault="002C26EB" w:rsidP="007521D4">
      <w:pPr>
        <w:spacing w:after="0" w:line="240" w:lineRule="auto"/>
        <w:ind w:right="140"/>
        <w:rPr>
          <w:szCs w:val="20"/>
        </w:rPr>
      </w:pPr>
    </w:p>
    <w:p w14:paraId="40BBDC85" w14:textId="77777777" w:rsidR="002C26EB" w:rsidRPr="002C26EB" w:rsidRDefault="002C26EB" w:rsidP="007521D4">
      <w:pPr>
        <w:spacing w:after="0" w:line="240" w:lineRule="auto"/>
        <w:ind w:right="140"/>
        <w:rPr>
          <w:szCs w:val="20"/>
        </w:rPr>
      </w:pPr>
    </w:p>
    <w:bookmarkEnd w:id="0"/>
    <w:p w14:paraId="76B9F95B" w14:textId="24513497" w:rsidR="00536A5A" w:rsidRPr="00536A5A" w:rsidRDefault="00536A5A" w:rsidP="007521D4">
      <w:pPr>
        <w:spacing w:after="0" w:line="240" w:lineRule="auto"/>
        <w:ind w:right="140"/>
      </w:pPr>
    </w:p>
    <w:sectPr w:rsidR="00536A5A" w:rsidRPr="00536A5A" w:rsidSect="002C26E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1D218C" w14:textId="77777777" w:rsidR="00DA7792" w:rsidRDefault="00DA7792">
      <w:r>
        <w:separator/>
      </w:r>
    </w:p>
  </w:endnote>
  <w:endnote w:type="continuationSeparator" w:id="0">
    <w:p w14:paraId="3892A147" w14:textId="77777777" w:rsidR="00DA7792" w:rsidRDefault="00DA7792">
      <w:r>
        <w:continuationSeparator/>
      </w:r>
    </w:p>
  </w:endnote>
  <w:endnote w:type="continuationNotice" w:id="1">
    <w:p w14:paraId="3675F5D9" w14:textId="77777777" w:rsidR="00DA7792" w:rsidRDefault="00DA77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3DEAA6" w14:textId="77777777" w:rsidR="00DA7792" w:rsidRDefault="00DA7792"/>
  </w:footnote>
  <w:footnote w:type="continuationSeparator" w:id="0">
    <w:p w14:paraId="6F261913" w14:textId="77777777" w:rsidR="00DA7792" w:rsidRDefault="00DA7792">
      <w:r>
        <w:continuationSeparator/>
      </w:r>
    </w:p>
  </w:footnote>
  <w:footnote w:type="continuationNotice" w:id="1">
    <w:p w14:paraId="547EA98A" w14:textId="77777777" w:rsidR="00DA7792" w:rsidRDefault="00DA779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E7A05E0"/>
    <w:multiLevelType w:val="multilevel"/>
    <w:tmpl w:val="2F88C0A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CB56FA8"/>
    <w:multiLevelType w:val="hybridMultilevel"/>
    <w:tmpl w:val="B3622CEE"/>
    <w:lvl w:ilvl="0" w:tplc="5F20ADAC">
      <w:start w:val="1"/>
      <w:numFmt w:val="bullet"/>
      <w:lvlText w:val=""/>
      <w:lvlJc w:val="left"/>
      <w:pPr>
        <w:ind w:left="720" w:hanging="360"/>
      </w:pPr>
      <w:rPr>
        <w:rFonts w:ascii="Symbol" w:hAnsi="Symbol" w:hint="default"/>
      </w:rPr>
    </w:lvl>
    <w:lvl w:ilvl="1" w:tplc="54664B8C" w:tentative="1">
      <w:start w:val="1"/>
      <w:numFmt w:val="bullet"/>
      <w:lvlText w:val="o"/>
      <w:lvlJc w:val="left"/>
      <w:pPr>
        <w:ind w:left="1440" w:hanging="360"/>
      </w:pPr>
      <w:rPr>
        <w:rFonts w:ascii="Courier New" w:hAnsi="Courier New" w:cs="Courier New" w:hint="default"/>
      </w:rPr>
    </w:lvl>
    <w:lvl w:ilvl="2" w:tplc="B358B210" w:tentative="1">
      <w:start w:val="1"/>
      <w:numFmt w:val="bullet"/>
      <w:lvlText w:val=""/>
      <w:lvlJc w:val="left"/>
      <w:pPr>
        <w:ind w:left="2160" w:hanging="360"/>
      </w:pPr>
      <w:rPr>
        <w:rFonts w:ascii="Wingdings" w:hAnsi="Wingdings" w:hint="default"/>
      </w:rPr>
    </w:lvl>
    <w:lvl w:ilvl="3" w:tplc="AD902158" w:tentative="1">
      <w:start w:val="1"/>
      <w:numFmt w:val="bullet"/>
      <w:lvlText w:val=""/>
      <w:lvlJc w:val="left"/>
      <w:pPr>
        <w:ind w:left="2880" w:hanging="360"/>
      </w:pPr>
      <w:rPr>
        <w:rFonts w:ascii="Symbol" w:hAnsi="Symbol" w:hint="default"/>
      </w:rPr>
    </w:lvl>
    <w:lvl w:ilvl="4" w:tplc="9C9CAC40" w:tentative="1">
      <w:start w:val="1"/>
      <w:numFmt w:val="bullet"/>
      <w:lvlText w:val="o"/>
      <w:lvlJc w:val="left"/>
      <w:pPr>
        <w:ind w:left="3600" w:hanging="360"/>
      </w:pPr>
      <w:rPr>
        <w:rFonts w:ascii="Courier New" w:hAnsi="Courier New" w:cs="Courier New" w:hint="default"/>
      </w:rPr>
    </w:lvl>
    <w:lvl w:ilvl="5" w:tplc="858A6C8E" w:tentative="1">
      <w:start w:val="1"/>
      <w:numFmt w:val="bullet"/>
      <w:lvlText w:val=""/>
      <w:lvlJc w:val="left"/>
      <w:pPr>
        <w:ind w:left="4320" w:hanging="360"/>
      </w:pPr>
      <w:rPr>
        <w:rFonts w:ascii="Wingdings" w:hAnsi="Wingdings" w:hint="default"/>
      </w:rPr>
    </w:lvl>
    <w:lvl w:ilvl="6" w:tplc="E3E8F8CC" w:tentative="1">
      <w:start w:val="1"/>
      <w:numFmt w:val="bullet"/>
      <w:lvlText w:val=""/>
      <w:lvlJc w:val="left"/>
      <w:pPr>
        <w:ind w:left="5040" w:hanging="360"/>
      </w:pPr>
      <w:rPr>
        <w:rFonts w:ascii="Symbol" w:hAnsi="Symbol" w:hint="default"/>
      </w:rPr>
    </w:lvl>
    <w:lvl w:ilvl="7" w:tplc="4304408E" w:tentative="1">
      <w:start w:val="1"/>
      <w:numFmt w:val="bullet"/>
      <w:lvlText w:val="o"/>
      <w:lvlJc w:val="left"/>
      <w:pPr>
        <w:ind w:left="5760" w:hanging="360"/>
      </w:pPr>
      <w:rPr>
        <w:rFonts w:ascii="Courier New" w:hAnsi="Courier New" w:cs="Courier New" w:hint="default"/>
      </w:rPr>
    </w:lvl>
    <w:lvl w:ilvl="8" w:tplc="0016829C" w:tentative="1">
      <w:start w:val="1"/>
      <w:numFmt w:val="bullet"/>
      <w:lvlText w:val=""/>
      <w:lvlJc w:val="left"/>
      <w:pPr>
        <w:ind w:left="6480"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72270420">
    <w:abstractNumId w:val="19"/>
  </w:num>
  <w:num w:numId="2" w16cid:durableId="832261902">
    <w:abstractNumId w:val="14"/>
  </w:num>
  <w:num w:numId="3" w16cid:durableId="1236205584">
    <w:abstractNumId w:val="0"/>
  </w:num>
  <w:num w:numId="4" w16cid:durableId="1394425680">
    <w:abstractNumId w:val="6"/>
  </w:num>
  <w:num w:numId="5" w16cid:durableId="1848211016">
    <w:abstractNumId w:val="16"/>
  </w:num>
  <w:num w:numId="6" w16cid:durableId="1759597719">
    <w:abstractNumId w:val="2"/>
  </w:num>
  <w:num w:numId="7" w16cid:durableId="1407217484">
    <w:abstractNumId w:val="11"/>
  </w:num>
  <w:num w:numId="8" w16cid:durableId="1493061359">
    <w:abstractNumId w:val="8"/>
  </w:num>
  <w:num w:numId="9" w16cid:durableId="944075073">
    <w:abstractNumId w:val="1"/>
  </w:num>
  <w:num w:numId="10" w16cid:durableId="389227327">
    <w:abstractNumId w:val="1"/>
  </w:num>
  <w:num w:numId="11" w16cid:durableId="2106227543">
    <w:abstractNumId w:val="3"/>
  </w:num>
  <w:num w:numId="12" w16cid:durableId="522742318">
    <w:abstractNumId w:val="4"/>
  </w:num>
  <w:num w:numId="13" w16cid:durableId="1657761836">
    <w:abstractNumId w:val="13"/>
  </w:num>
  <w:num w:numId="14" w16cid:durableId="1061320989">
    <w:abstractNumId w:val="9"/>
  </w:num>
  <w:num w:numId="15" w16cid:durableId="2107193694">
    <w:abstractNumId w:val="7"/>
  </w:num>
  <w:num w:numId="16" w16cid:durableId="1790664876">
    <w:abstractNumId w:val="12"/>
  </w:num>
  <w:num w:numId="17" w16cid:durableId="358242214">
    <w:abstractNumId w:val="5"/>
  </w:num>
  <w:num w:numId="18" w16cid:durableId="713431793">
    <w:abstractNumId w:val="10"/>
  </w:num>
  <w:num w:numId="19" w16cid:durableId="817188769">
    <w:abstractNumId w:val="17"/>
  </w:num>
  <w:num w:numId="20" w16cid:durableId="1386220138">
    <w:abstractNumId w:val="15"/>
  </w:num>
  <w:num w:numId="21" w16cid:durableId="68775637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0BE9"/>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26EB"/>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21D4"/>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46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025B"/>
    <w:rsid w:val="00CC167C"/>
    <w:rsid w:val="00CC52D9"/>
    <w:rsid w:val="00CD6647"/>
    <w:rsid w:val="00CE4B73"/>
    <w:rsid w:val="00CF70BB"/>
    <w:rsid w:val="00D074DB"/>
    <w:rsid w:val="00D139CF"/>
    <w:rsid w:val="00D13DE4"/>
    <w:rsid w:val="00D37E7F"/>
    <w:rsid w:val="00D47AD7"/>
    <w:rsid w:val="00D51529"/>
    <w:rsid w:val="00D769E4"/>
    <w:rsid w:val="00D85218"/>
    <w:rsid w:val="00D915B1"/>
    <w:rsid w:val="00DA299D"/>
    <w:rsid w:val="00DA65C4"/>
    <w:rsid w:val="00DA7792"/>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3</Pages>
  <Words>522</Words>
  <Characters>2767</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PONV profylax och behandling</dc:title>
  <dc:subject/>
  <dc:creator>patrik.jens.johansson@vgregion.se</dc:creator>
  <keywords/>
  <lastModifiedBy>Carina Turesson Roos</lastModifiedBy>
  <revision>8</revision>
  <lastPrinted>2016-03-31T10:56:00.0000000Z</lastPrinted>
  <dcterms:created xsi:type="dcterms:W3CDTF">2022-05-24T04:13:00.0000000Z</dcterms:created>
  <dcterms:modified xsi:type="dcterms:W3CDTF">2024-04-26T11:20:00.0000000Z</dcterms:modified>
</coreProperties>
</file>